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к извещению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pP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pP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  <w:r>
        <w:rPr>
          <w:rFonts w:ascii="Times New Roman" w:hAnsi="Times New Roman" w:eastAsia="Lucida Sans Unicode" w:cs="Mangal"/>
          <w:sz w:val="20"/>
          <w:szCs w:val="20"/>
          <w:lang w:eastAsia="zh-CN" w:bidi="hi-IN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  <w:t xml:space="preserve">ОСФР по Чувашской Республике – Чувашии (далее – Заказчик), руководствуясь статьей 33 Федерального закона от 5 апреля 2013 г. № 44-ФЗ "О контрактной системе в сфере закупок товаров, работ, услуг для государственных и муниципальных н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  <w:t xml:space="preserve">ужд", устанавливает для всех участников закупки, без предоставления кому-либо приоритета, единые требования, связанные с определением соответствия Товара потребностям Заказчика, не менее тех параметров, установленных (указанных) в описании объекта закупки.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 w:eastAsia="Lucida Sans Unicode" w:cs="Mangal"/>
          <w:sz w:val="24"/>
          <w:szCs w:val="24"/>
          <w:highlight w:val="none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  <w:t xml:space="preserve">В иных случаях,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показателей, требований, условных обеспечений и терминологий, настоя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  <w:t xml:space="preserve">щее описание закупки, в целях закупки Товара, соответствующих потребностям Заказчика, содержит иные (общепринятые) показатели, требования, условные обозначения и терминологии, которые применяются исполнителями услуг, являющихся предметом настоящей закупки.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highlight w:val="none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highlight w:val="none"/>
          <w:lang w:eastAsia="zh-CN" w:bidi="hi-IN"/>
        </w:rPr>
      </w:r>
    </w:p>
    <w:p>
      <w:pPr>
        <w:widowControl w:val="false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 w:before="60" w:line="276" w:lineRule="auto"/>
        <w:ind w:firstLine="60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Обоснование необходимости использования дополнительной информации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  <w:spacing w:after="0" w:afterAutospacing="0" w:before="0" w:beforeAutospacing="0"/>
        <w:ind/>
        <w:jc w:val="both"/>
        <w:rPr/>
      </w:pPr>
      <w:r>
        <w:rPr>
          <w:i/>
        </w:rPr>
        <w:t xml:space="preserve">В соответствии с требованиями статьи 33 Закона № 44-ФЗ, в связи с тем, что характеристики </w:t>
      </w:r>
      <w:r>
        <w:rPr>
          <w:i/>
        </w:rPr>
        <w:t xml:space="preserve">и показатели, указанные в КТРУ не являются исчерпывающими (в связи с отсутствием запрета на указание дополнительных характеристик), не позволяющими точно определить качественные (функциональные, технические) характеристики закупаемого Товара, также в целях</w:t>
      </w:r>
      <w:bookmarkStart w:id="0" w:name="_GoBack"/>
      <w:r/>
      <w:bookmarkEnd w:id="0"/>
      <w:r>
        <w:rPr>
          <w:i/>
        </w:rPr>
        <w:t xml:space="preserve"> исключения противоречий, и для обеспечения соответствия закупаемого Товара потребностям Заказчика – в описании объекта закупки Заказчиком использовались</w:t>
      </w:r>
      <w:r>
        <w:rPr>
          <w:i/>
        </w:rPr>
        <w:t xml:space="preserve"> дополнительные характеристики и показатели (потребительские, функциональные, технические, качественные, эксплуатационные)  Товара, которые не предусмотрены в позиции КТРУ</w:t>
      </w:r>
      <w:r>
        <w:t xml:space="preserve">.</w:t>
      </w:r>
      <w:r/>
      <w:r/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</w:p>
    <w:p>
      <w:pPr>
        <w:widowControl w:val="false"/>
        <w:pBdr/>
        <w:spacing w:after="0" w:line="220" w:lineRule="atLeast"/>
        <w:ind/>
        <w:jc w:val="right"/>
        <w:rPr/>
      </w:pPr>
      <w:r/>
      <w:r/>
    </w:p>
    <w:p>
      <w:pPr>
        <w:widowControl w:val="false"/>
        <w:pBdr/>
        <w:spacing w:after="0" w:line="220" w:lineRule="atLeast"/>
        <w:ind/>
        <w:jc w:val="center"/>
        <w:rPr>
          <w:rFonts w:ascii="Times New Roman" w:hAnsi="Times New Roman" w:eastAsia="Times New Roman CYR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Times New Roman CYR" w:cs="Times New Roman"/>
          <w:b/>
          <w:sz w:val="24"/>
          <w:szCs w:val="24"/>
          <w:lang w:eastAsia="ru-RU" w:bidi="ru-RU"/>
        </w:rPr>
        <w:t xml:space="preserve">ОПИСАНИЕ ОБЪЕКТА ЗАКУПКИ</w:t>
      </w:r>
      <w:r>
        <w:rPr>
          <w:rFonts w:ascii="Times New Roman" w:hAnsi="Times New Roman" w:eastAsia="Times New Roman CYR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Times New Roman CYR" w:cs="Times New Roman"/>
          <w:b/>
          <w:sz w:val="24"/>
          <w:szCs w:val="24"/>
          <w:lang w:eastAsia="ru-RU" w:bidi="ru-RU"/>
        </w:rPr>
      </w:r>
    </w:p>
    <w:p>
      <w:pPr>
        <w:widowControl w:val="false"/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(Техническое задание на поставку кресло-стульев с санитарным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оснащением в  целях  социального  обеспечения  граждан  в  2025 году)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/>
        <w:ind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widowControl w:val="false"/>
        <w:pBdr/>
        <w:spacing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Наименование товара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0"/>
        <w:pBdr/>
        <w:spacing w:after="0" w:before="0" w:beforeAutospacing="0" w:line="276" w:lineRule="auto"/>
        <w:ind w:firstLine="709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Кресло-стул с санитарным оснащением - техническое средство реабилитации, предназначенное для использования в туалетных или других помещениях при самообслуживании и уходе за инвалидами.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Технические, функциональные, качественные и эксплуатационные характеристики поставляемого товара.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tabs>
          <w:tab w:val="left" w:leader="none" w:pos="60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ресла-стулья с санитарным оснащением </w:t>
      </w:r>
      <w:r>
        <w:rPr>
          <w:rFonts w:ascii="Times New Roman" w:hAnsi="Times New Roman" w:eastAsia="Times New Roman" w:cs="Times New Roman"/>
          <w:color w:val="212121"/>
          <w:spacing w:val="-1"/>
          <w:sz w:val="24"/>
          <w:szCs w:val="24"/>
        </w:rPr>
        <w:t xml:space="preserve">соответствуют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ГОСТ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57766-2017 «</w:t>
      </w:r>
      <w:r>
        <w:rPr>
          <w:rFonts w:ascii="Times New Roman" w:hAnsi="Times New Roman" w:eastAsia="Times New Roman" w:cs="Times New Roman"/>
          <w:bCs/>
          <w:color w:val="000000"/>
          <w:spacing w:val="-5"/>
          <w:sz w:val="24"/>
          <w:szCs w:val="24"/>
        </w:rPr>
        <w:t xml:space="preserve">Кресла-стулья с санитарным оснащением. Типы, технические требования, методы контроля» в части: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r>
    </w:p>
    <w:p>
      <w:pPr>
        <w:pBdr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«5.1.2.13 Кресла-стулья (кроме кресел-стульев без колес) должны быть оборудованы стояночной и, 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при необходимости, рабочей системами торможения, легко управляемыми пользователем или сопровождающим лицом и обеспечивающими удержание кресел-стульев с пользователем в неподвижном состоянии и снижение скорости движения кресла-стула или полную его остановку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«5.1.2.20 Поворотные колеса кресел-стульев должны быть самоориентирующимися и проворачиваться относительно вертикальной оси кронштейна легко, без заеданий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 «6.2 Наружные поверхности кресел-стульев не должны иметь сколов, заусенцев, остры кромок, углов, выступов или других дефектов, которые могут поранить человека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«6.3 Материалы, применя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емые для изготовления кресел-стульев,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«6.6 Наружные поверхности должны быть устойчивыми к обработке дезинфицирующими и моющими средствами. Конкретный метод дезинфекции должен быть указан в технической документации или НД на конкретный вид кресел-стульев.»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«6.7 Элементы кресел-стульев, которые могут подвергаться воздействию агрессивных биологических жидкостей (пота, мочи), должны быть стойкими к воздействию этих жидкостей</w:t>
      </w:r>
      <w:r>
        <w:rPr>
          <w:rFonts w:ascii="Times New Roman" w:hAnsi="Times New Roman" w:eastAsia="Times New Roman" w:cs="Times New Roman" w:eastAsiaTheme="minorHAnsi"/>
          <w:sz w:val="24"/>
          <w:szCs w:val="24"/>
          <w:lang w:eastAsia="en-US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Поставляемый товар новый,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1"/>
        <w:tblW w:w="15108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702"/>
        <w:gridCol w:w="1553"/>
        <w:gridCol w:w="1415"/>
        <w:gridCol w:w="567"/>
        <w:gridCol w:w="708"/>
        <w:gridCol w:w="1982"/>
        <w:gridCol w:w="1410"/>
        <w:gridCol w:w="810"/>
        <w:gridCol w:w="60"/>
        <w:gridCol w:w="60"/>
        <w:gridCol w:w="30"/>
        <w:gridCol w:w="30"/>
        <w:gridCol w:w="62"/>
        <w:gridCol w:w="28"/>
        <w:gridCol w:w="660"/>
        <w:gridCol w:w="51"/>
        <w:gridCol w:w="9"/>
        <w:gridCol w:w="15"/>
        <w:gridCol w:w="15"/>
        <w:gridCol w:w="60"/>
        <w:gridCol w:w="120"/>
        <w:gridCol w:w="135"/>
        <w:gridCol w:w="720"/>
        <w:gridCol w:w="30"/>
        <w:gridCol w:w="30"/>
        <w:gridCol w:w="15"/>
        <w:gridCol w:w="105"/>
        <w:gridCol w:w="195"/>
        <w:gridCol w:w="1039"/>
        <w:gridCol w:w="562"/>
        <w:gridCol w:w="1930"/>
      </w:tblGrid>
      <w:tr>
        <w:trPr>
          <w:trHeight w:val="1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68" w:lef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№ п/п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Наименование товара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Наименование позиции по КТРУ/ОКПД2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Кол-во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Ед. измере-ния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Наименование характеристики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Тип характеристики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Значение характеристики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Ед. измерения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Инструкция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 xml:space="preserve">по заполнению характеристики в заявке</w:t>
            </w:r>
            <w:r>
              <w:rPr>
                <w:bCs/>
                <w:sz w:val="18"/>
                <w:szCs w:val="18"/>
                <w:lang w:eastAsia="en-US"/>
              </w:rPr>
            </w:r>
            <w:r>
              <w:rPr>
                <w:bCs/>
                <w:sz w:val="18"/>
                <w:szCs w:val="18"/>
                <w:lang w:eastAsia="en-US"/>
              </w:rPr>
            </w:r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68"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</w:rPr>
              <w:t xml:space="preserve">1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Cs w:val="20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 с санитарным оснащением (с колесами)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Кресло-туалет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32.50.22.129/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 xml:space="preserve">32.50.50.190-00002883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Невозможно определить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Характеристики товара в соответствии с КТРУ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ширина сидения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вес пациента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Подлокотники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фиксированные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Подножки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Регулировка высоты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Стояночный тормоз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рамы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нескладная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Электропривод сиденья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Дополнительные характеристики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и основные характеристики кресла-стула с санитарным оснащением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кресло-стула с санитарным оснащением  изготовлена из высокопрочных стальных труб;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подлокотники;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судно с крышкой, съемное;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санитарное сидение;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-колеса (4 колеса малого диаметра, задние колеса снабжены тормозами) 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поручнями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шагом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фиксацией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не менее 5-ти положениях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кресло-стула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Комплектность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кресло-стул, паспорт на изделие (либо документ, содержащий описание и правила эксплуатации товара) на русском языке, гарантийный талон на сервисное обслуживание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 с санитарным оснащением активного типа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Кресло-туалет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32.50.22.129/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32.50.50.190-00002883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Невозможно определить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Характеристики товара в соответствии с КТРУ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ширина сидения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вес пациента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Подлокотники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откидные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Подножки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съемные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Регулировка высоты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Стояночный тормоз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рамы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складная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Электропривод сиденья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Дополнительные характеристики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и основные характеристики кресла-стула с санитарным оснащением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кресло-стула с санитарным оснащением изготовлена из высокопрочных стальных труб;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складывается и раскладывается без применения инструмента;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подлок</w:t>
            </w:r>
            <w:r>
              <w:rPr>
                <w:sz w:val="18"/>
                <w:szCs w:val="18"/>
                <w:lang w:eastAsia="en-US"/>
              </w:rPr>
              <w:t xml:space="preserve">отники откидные;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судно с крышкой, съемное;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съемное пластмассовое санитарное сидение с мягкой подушкой;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-передние колеса с цельнолитыми шинами малого диаметра;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-задние колеса большого диаметра с цельнолитыми или пневматически</w:t>
            </w:r>
            <w:r>
              <w:rPr>
                <w:sz w:val="18"/>
                <w:szCs w:val="18"/>
                <w:lang w:eastAsia="en-US"/>
              </w:rPr>
              <w:t xml:space="preserve">ми шинами, с приводом от обода колеса;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стояночные тормоза;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съемные подножки, регулируемые по длине голени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поручнями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кресло-стула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Грузоподъемность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кресло-стул, инструмент для обслуживания, паспорт на изделие (либо документ, содержащий описание и правила эксплуатации товара) на русском языке, гарантийный талон на сервисное обслуживание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 с санитарным </w:t>
            </w:r>
            <w:r>
              <w:rPr>
                <w:sz w:val="18"/>
                <w:szCs w:val="18"/>
                <w:lang w:eastAsia="en-US"/>
              </w:rPr>
              <w:t xml:space="preserve">оснащением пассивного типа повышенной грузоподъемности (без колес)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Кресло-туалет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32.50.22.129/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32.50.50.190-00002882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Невозможно определить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Характеристики товара в соответствии с КТРУ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ширина сидения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вес пациента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Подлокотники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фиксированные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Подножки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Регулировка высоты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Стояночный тормоз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рамы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нескладная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Электропривод сиденья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Дополнительные характеристики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и основные характеристики кресла-стула с санитарным оснащением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кресло-стула с санитарным оснащением  изготовлена из высокопрочных стальных труб;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судно с крышкой, съемное;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съемное пластмассово</w:t>
            </w:r>
            <w:r>
              <w:rPr>
                <w:sz w:val="18"/>
                <w:szCs w:val="18"/>
                <w:lang w:eastAsia="en-US"/>
              </w:rPr>
              <w:t xml:space="preserve">е санитарное сидение;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подлокотники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шагом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фиксацией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не менее 5-ти положениях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поручнями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кресло-стула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14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Грузоподъемность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180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кресло-стул, инструмент для обслуживания, паспорт на изделие (либо документ, содержащий описание и правила эксплуатации товара) на русском языке, гарантийный талон на сервисное обслуживание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 с санитарным оснащением (без колес)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Кресло-туалет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32.50.22.129/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32.50.50.190-00002883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Невозможно определить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Характеристики товара в соответствии с КТРУ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25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ширина сидения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вес пациента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Подлокотники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фиксированные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Подножки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Регулировка высоты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Стояночный тормоз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рамы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нескладная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Электропривод сиденья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Дополнительные характеристики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и основные характеристики кресла-стула с санитарным оснащением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кресло-стула с санитарным оснащением  изготовлена из высокопрочных стальных труб;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судно с крышкой, съемное;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съемное пластмассовое санитарное сидение;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противоскользящие насадки на ножки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поручнями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шагом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фиксацией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не менее 5-ти положениях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кресло-стула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кресло-стул, инструмент для обслуживания, паспорт на изделие (либо документ, содержащий описание и правила эксплуатации товара) на русском языке, гарантийный талон на сервисное обслуживание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5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 с санитарным оснащением (без колес)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Кресло-туалет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32.50.22.129/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32.50.50.190-00002883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Невозможно определить</w:t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Характеристики товара в соответствии с КТРУ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25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ширина сидения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56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Максимальный вес пациента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&gt;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диапозон значений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колес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Подлокотники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фиксированные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Подножки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Регулировка высоты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Стояночный тормоз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рамы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нескладная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Электропривод сиденья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нет</w:t>
            </w:r>
            <w:r>
              <w:rPr>
                <w:sz w:val="18"/>
                <w:szCs w:val="18"/>
                <w:highlight w:val="yellow"/>
                <w:lang w:eastAsia="en-US"/>
              </w:rPr>
            </w:r>
            <w:r>
              <w:rPr>
                <w:sz w:val="18"/>
                <w:szCs w:val="1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rFonts w:eastAsia="Calibri"/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Дополнительные характеристики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и основные характеристики кресла-стула с санитарным оснащением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-рама кресло-стула с санитарным оснащением  изготовлена из высокопрочных стальных труб;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пластмассовое судно с крышкой, съемное;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-имеется съемное пластмассовое санитарное сидение;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-имеются противоскользящие насадки на ножки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между поручнями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шагом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≥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см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Ножки регулируются по высоте с фиксацией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не менее 5-ти положениях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кресло-стула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количественная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выбор значения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≤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кг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УЗ указывает конкретное значение хар-ки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  <w:r>
              <w:rPr>
                <w:rFonts w:eastAsiaTheme="minorHAnsi"/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Комплектность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количественная" w:value="количественная"/>
                  <w:listItem w:displayText="качественная" w:value="качественная"/>
                  <w:listItem w:displayText="выбор характеристики" w:value="выбор характеристи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качественная</w:t>
                </w:r>
              </w:sdtContent>
            </w:sdt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7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кресло-стул, инструмент для обслуживания, паспорт на изделие (либо документ, содержащий описание и правила эксплуатации товара) на русском языке, гарантийный талон на сервисное обслуживание</w: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:dropDownList>
                  <w:listItem w:displayText="УЗ указывает диапозон значений хар-ки" w:value="УЗ указывает диапозон значений хар-ки"/>
                  <w:listItem w:displayText="УЗ указывает конкретное значение хар-ки" w:value="УЗ указывает конкретное значение хар-ки"/>
                  <w:listItem w:displayText="Значение хар-ки не может меняться" w:value="Значение хар-ки не может меняться"/>
                  <w:listItem w:displayText="УЗ указывает только одно значение хар-ки" w:value="УЗ указывает только одно значение хар-ки"/>
                  <w:listItem w:displayText="УЗ указывает одно или несколько значений хар-ки" w:value="УЗ указывает одно или несколько значений хар-ки"/>
                  <w:listItem w:displayText="УЗ указывает все значения хар-ки" w:value="УЗ указывает все значения хар-ки"/>
                </w:dropDownList>
                <w:rPr>
                  <w:sz w:val="18"/>
                  <w:szCs w:val="18"/>
                </w:rPr>
              </w:sdtPr>
              <w:sdtContent>
                <w:r>
                  <w:rPr>
                    <w:sz w:val="18"/>
                    <w:szCs w:val="18"/>
                  </w:rPr>
                  <w:t xml:space="preserve">Значение хар-ки не может меняться</w:t>
                </w:r>
              </w:sdtContent>
            </w:sdt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</w:tbl>
    <w:p>
      <w:pPr>
        <w:pBdr/>
        <w:spacing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4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Требования к упаковке и отгрузке Товара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keepNext w:val="true"/>
        <w:pBdr/>
        <w:spacing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Согласно ГОСТ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испытаний»: 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keepNext w:val="true"/>
        <w:pBdr/>
        <w:spacing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«Раздел 4.11 Маркировка, упаковка, транспортирование и хранение: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4.11.5. 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4.11.6.1. Упаковка должна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Требования к гарантийному сроку товара, работы, услуги и (или) объему предоставления гарантий их качества, к гарантийному обслуживанию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Гарантийный срок составляет 12 месяцев. Срок гарантийного ремонта со дня обращения не превышает 20 рабочих дней. Обязательно нал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ичие гарантийных талонов, дающих право на бесплатный ремонт изделия во время гарантийного срока пользования. Обязательно указание (наличие) адресов специализированных мастерских, в которые следует обращаться для гарантийного ремонта изделия или устранения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неисправностей.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Обеспечение возможности ремонта при обеспечении инвалидов ТСР осуществляется в соответствии с федеральным законом от 07.02.1992г. № 2300-1 «О защите прав потребителей».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widowControl w:val="false"/>
        <w:pBdr/>
        <w:spacing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bidi="ru-RU"/>
        </w:rPr>
        <w:t xml:space="preserve">Требования к сроку предоставления документов, подтверждающих качество товара, и образцов товара, всего объема товара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Поставщик обязан представить Заказчику в течение 10-и (дести) рабочих дней,  начиная со дня действия Государственного контракта, Товар и копии действующего регистрационного удостоверения, выданного Федеральной службой по надзору в сфере здравоохранения.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Датой поставки Товара на территорию Чувашской Республики (г. Чебоксары) считается дата уведомления Заказчика о поставке Товара на территорию Чувашской Республики (г. Чебоксары), при условии последующего подписания Акта выборочной прове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рки на соответствие поставляемого Товара техническим и функциональным характеристикам, определенным в Техническом задании Контракта, Заказчиком без претензий к количеству и (или) качеству (техническим и функциональным характеристикам) поставленного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Поставка товара получателям осуществляется  в течение 15 (пятнадцати) календарных дней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даты получения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Заказчика Реестра получателя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Место поставки: Поставщик обязан предоставить Получателям право выбора одного из способов получения Товара: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 месту жительства Получателя;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 пункте выдачи.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обеспечения получателей: по 29 августа 2025 года включительно.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действия Государственного контракта: по 30 сентября 2025 года включительно.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 пользования изделиями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пользования Изделием не меньше срока пользования, установленного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48"/>
        <w:pBdr/>
        <w:spacing w:after="0" w:afterAutospacing="0" w:beforeAutospacing="0"/>
        <w:ind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1906" w:orient="landscape" w:w="16838"/>
      <w:pgMar w:top="1418" w:right="568" w:bottom="851" w:left="709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Lucida Sans Unicode">
    <w:panose1 w:val="020B0603030804020204"/>
  </w:font>
  <w:font w:name="Andale Sans UI">
    <w:panose1 w:val="05040102010807070707"/>
  </w:font>
  <w:font w:name="Times New Roman">
    <w:panose1 w:val="02020603050405020304"/>
  </w:font>
  <w:font w:name="Microsoft YaHei">
    <w:panose1 w:val="020B06030202020202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37"/>
    <w:next w:val="837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37"/>
    <w:next w:val="837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37"/>
    <w:next w:val="837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37"/>
    <w:next w:val="837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37"/>
    <w:next w:val="837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37"/>
    <w:next w:val="837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37"/>
    <w:next w:val="837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37"/>
    <w:next w:val="837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37"/>
    <w:next w:val="837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38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38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38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38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38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38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38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38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38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Title"/>
    <w:basedOn w:val="837"/>
    <w:next w:val="837"/>
    <w:link w:val="81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0">
    <w:name w:val="Title Char"/>
    <w:basedOn w:val="838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1">
    <w:name w:val="Subtitle"/>
    <w:basedOn w:val="837"/>
    <w:next w:val="837"/>
    <w:link w:val="81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2">
    <w:name w:val="Subtitle Char"/>
    <w:basedOn w:val="838"/>
    <w:link w:val="81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3">
    <w:name w:val="Quote"/>
    <w:basedOn w:val="837"/>
    <w:next w:val="837"/>
    <w:link w:val="81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4">
    <w:name w:val="Quote Char"/>
    <w:basedOn w:val="838"/>
    <w:link w:val="81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5">
    <w:name w:val="List Paragraph"/>
    <w:basedOn w:val="837"/>
    <w:uiPriority w:val="34"/>
    <w:qFormat/>
    <w:pPr>
      <w:pBdr/>
      <w:spacing/>
      <w:ind w:left="720"/>
      <w:contextualSpacing w:val="true"/>
    </w:pPr>
  </w:style>
  <w:style w:type="character" w:styleId="816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37"/>
    <w:next w:val="837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38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0">
    <w:name w:val="No Spacing"/>
    <w:basedOn w:val="837"/>
    <w:uiPriority w:val="1"/>
    <w:qFormat/>
    <w:pPr>
      <w:pBdr/>
      <w:spacing w:after="0" w:line="240" w:lineRule="auto"/>
      <w:ind/>
    </w:pPr>
  </w:style>
  <w:style w:type="character" w:styleId="821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37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38"/>
    <w:link w:val="826"/>
    <w:uiPriority w:val="99"/>
    <w:pPr>
      <w:pBdr/>
      <w:spacing/>
      <w:ind/>
    </w:pPr>
  </w:style>
  <w:style w:type="paragraph" w:styleId="828">
    <w:name w:val="Footer"/>
    <w:basedOn w:val="837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38"/>
    <w:link w:val="828"/>
    <w:uiPriority w:val="99"/>
    <w:pPr>
      <w:pBdr/>
      <w:spacing/>
      <w:ind/>
    </w:pPr>
  </w:style>
  <w:style w:type="character" w:styleId="830">
    <w:name w:val="Footnote Text Char"/>
    <w:basedOn w:val="838"/>
    <w:link w:val="853"/>
    <w:uiPriority w:val="99"/>
    <w:semiHidden/>
    <w:pPr>
      <w:pBdr/>
      <w:spacing/>
      <w:ind/>
    </w:pPr>
    <w:rPr>
      <w:sz w:val="20"/>
      <w:szCs w:val="20"/>
    </w:rPr>
  </w:style>
  <w:style w:type="paragraph" w:styleId="831">
    <w:name w:val="endnote text"/>
    <w:basedOn w:val="837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Endnote Text Char"/>
    <w:basedOn w:val="838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34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5">
    <w:name w:val="TOC Heading"/>
    <w:uiPriority w:val="39"/>
    <w:unhideWhenUsed/>
    <w:pPr>
      <w:pBdr/>
      <w:spacing/>
      <w:ind/>
    </w:pPr>
  </w:style>
  <w:style w:type="paragraph" w:styleId="836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7" w:default="1">
    <w:name w:val="Normal"/>
    <w:qFormat/>
    <w:pPr>
      <w:pBdr/>
      <w:spacing w:after="200" w:line="276" w:lineRule="auto"/>
      <w:ind/>
    </w:p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 w:customStyle="1">
    <w:name w:val="Основной шрифт"/>
    <w:qFormat/>
    <w:pPr>
      <w:pBdr/>
      <w:spacing/>
      <w:ind/>
    </w:pPr>
  </w:style>
  <w:style w:type="character" w:styleId="842" w:customStyle="1">
    <w:name w:val="Текст выноски Знак"/>
    <w:basedOn w:val="838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43" w:customStyle="1">
    <w:name w:val="Заголовок"/>
    <w:basedOn w:val="837"/>
    <w:next w:val="844"/>
    <w:qFormat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844">
    <w:name w:val="Body Text"/>
    <w:basedOn w:val="837"/>
    <w:link w:val="860"/>
    <w:pPr>
      <w:pBdr/>
      <w:spacing w:after="140" w:line="288" w:lineRule="auto"/>
      <w:ind/>
    </w:pPr>
  </w:style>
  <w:style w:type="paragraph" w:styleId="845">
    <w:name w:val="List"/>
    <w:basedOn w:val="844"/>
    <w:pPr>
      <w:pBdr/>
      <w:spacing/>
      <w:ind/>
    </w:pPr>
    <w:rPr>
      <w:rFonts w:cs="Mangal"/>
    </w:rPr>
  </w:style>
  <w:style w:type="paragraph" w:styleId="846">
    <w:name w:val="Caption"/>
    <w:basedOn w:val="837"/>
    <w:qFormat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47">
    <w:name w:val="index heading"/>
    <w:basedOn w:val="837"/>
    <w:qFormat/>
    <w:pPr>
      <w:suppressLineNumbers w:val="true"/>
      <w:pBdr/>
      <w:spacing/>
      <w:ind/>
    </w:pPr>
    <w:rPr>
      <w:rFonts w:cs="Mangal"/>
    </w:rPr>
  </w:style>
  <w:style w:type="paragraph" w:styleId="848">
    <w:name w:val="Normal (Web)"/>
    <w:basedOn w:val="837"/>
    <w:uiPriority w:val="99"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Balloon Text"/>
    <w:basedOn w:val="837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850" w:customStyle="1">
    <w:name w:val="western"/>
    <w:basedOn w:val="837"/>
    <w:qFormat/>
    <w:pPr>
      <w:pBdr/>
      <w:spacing w:after="119" w:beforeAutospacing="1" w:line="198" w:lineRule="atLeast"/>
      <w:ind w:left="238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table" w:styleId="851">
    <w:name w:val="Table Grid"/>
    <w:basedOn w:val="839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 w:customStyle="1">
    <w:name w:val="Текст сноски Знак"/>
    <w:basedOn w:val="838"/>
    <w:link w:val="853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53">
    <w:name w:val="footnote text"/>
    <w:basedOn w:val="837"/>
    <w:link w:val="852"/>
    <w:unhideWhenUsed/>
    <w:pPr>
      <w:pBdr/>
      <w:spacing w:after="60" w:line="240" w:lineRule="auto"/>
      <w:ind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54" w:customStyle="1">
    <w:name w:val="Текст сноски Знак1"/>
    <w:basedOn w:val="838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footnote reference"/>
    <w:unhideWhenUsed/>
    <w:pPr>
      <w:pBdr/>
      <w:spacing/>
      <w:ind/>
    </w:pPr>
    <w:rPr>
      <w:vertAlign w:val="superscript"/>
    </w:rPr>
  </w:style>
  <w:style w:type="paragraph" w:styleId="856" w:customStyle="1">
    <w:name w:val="Контракт-пункт"/>
    <w:basedOn w:val="837"/>
    <w:pPr>
      <w:widowControl w:val="false"/>
      <w:pBdr/>
      <w:spacing w:after="0" w:line="240" w:lineRule="auto"/>
      <w:ind/>
      <w:jc w:val="both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character" w:styleId="857">
    <w:name w:val="Hyperlink"/>
    <w:basedOn w:val="838"/>
    <w:uiPriority w:val="99"/>
    <w:semiHidden/>
    <w:unhideWhenUsed/>
    <w:pPr>
      <w:pBdr/>
      <w:spacing/>
      <w:ind/>
    </w:pPr>
    <w:rPr>
      <w:color w:val="0000ff" w:themeColor="hyperlink"/>
      <w:u w:val="single"/>
    </w:rPr>
  </w:style>
  <w:style w:type="paragraph" w:styleId="858" w:customStyle="1">
    <w:name w:val="ConsPlusNormal"/>
    <w:pPr>
      <w:widowControl w:val="false"/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9" w:customStyle="1">
    <w:name w:val="Font Style12"/>
    <w:pPr>
      <w:pBdr/>
      <w:spacing/>
      <w:ind/>
    </w:pPr>
    <w:rPr>
      <w:rFonts w:ascii="Times New Roman" w:hAnsi="Times New Roman" w:eastAsia="Times New Roman" w:cs="Times New Roman"/>
      <w:sz w:val="20"/>
    </w:rPr>
  </w:style>
  <w:style w:type="character" w:styleId="860" w:customStyle="1">
    <w:name w:val="Основной текст Знак"/>
    <w:basedOn w:val="838"/>
    <w:link w:val="844"/>
    <w:pPr>
      <w:pBdr/>
      <w:spacing/>
      <w:ind/>
    </w:pPr>
  </w:style>
  <w:style w:type="paragraph" w:styleId="861" w:customStyle="1">
    <w:name w:val="Standard"/>
    <w:pPr>
      <w:widowControl w:val="false"/>
      <w:pBdr/>
      <w:spacing/>
      <w:ind/>
    </w:pPr>
    <w:rPr>
      <w:rFonts w:ascii="Times New Roman" w:hAnsi="Times New Roman" w:eastAsia="Arial Unicode MS" w:cs="Tahoma"/>
      <w:sz w:val="24"/>
      <w:szCs w:val="24"/>
      <w:lang w:eastAsia="ru-RU"/>
    </w:rPr>
  </w:style>
  <w:style w:type="character" w:styleId="862" w:customStyle="1">
    <w:name w:val="???????? ????? ????1"/>
    <w:pPr>
      <w:pBdr/>
      <w:spacing/>
      <w:ind/>
    </w:pPr>
    <w:rPr>
      <w:sz w:val="23"/>
      <w:szCs w:val="23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76D0-496F-488F-A6A2-642C0C0A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Н.. Шилова</dc:creator>
  <dc:language>ru-RU</dc:language>
  <cp:revision>21</cp:revision>
  <dcterms:created xsi:type="dcterms:W3CDTF">2024-11-07T05:58:00Z</dcterms:created>
  <dcterms:modified xsi:type="dcterms:W3CDTF">2024-11-15T06:28:03Z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