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A1" w:rsidRDefault="008A4D2A">
      <w:pPr>
        <w:pStyle w:val="Standard"/>
        <w:jc w:val="right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Приложение №1</w:t>
      </w:r>
    </w:p>
    <w:p w:rsidR="00BC44A1" w:rsidRDefault="008A4D2A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Техническое задание</w:t>
      </w:r>
    </w:p>
    <w:p w:rsidR="00BC44A1" w:rsidRDefault="00BC44A1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p w:rsidR="00BC44A1" w:rsidRDefault="008A4D2A" w:rsidP="00E31731">
      <w:pPr>
        <w:pStyle w:val="Standard"/>
        <w:autoSpaceDE w:val="0"/>
        <w:ind w:firstLine="426"/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1.  Способ определения поставщика: </w:t>
      </w:r>
      <w:r w:rsidR="008709E5">
        <w:rPr>
          <w:rFonts w:ascii="Times New Roman CYR" w:eastAsia="Times New Roman CYR" w:hAnsi="Times New Roman CYR" w:cs="Times New Roman CYR"/>
          <w:sz w:val="20"/>
          <w:szCs w:val="20"/>
        </w:rPr>
        <w:t>Запрос котировок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в электронной форме.</w:t>
      </w:r>
    </w:p>
    <w:p w:rsidR="00ED7CBE" w:rsidRDefault="008A4D2A" w:rsidP="006D7320">
      <w:pPr>
        <w:pStyle w:val="Standard"/>
        <w:numPr>
          <w:ilvl w:val="1"/>
          <w:numId w:val="1"/>
        </w:numPr>
        <w:autoSpaceDE w:val="0"/>
        <w:ind w:firstLine="426"/>
        <w:jc w:val="both"/>
      </w:pPr>
      <w:r w:rsidRPr="00E31731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Предмет государственного контракта</w:t>
      </w:r>
      <w:r w:rsidRPr="00E3173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:</w:t>
      </w:r>
      <w:r w:rsidRPr="00E31731"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="006D7320">
        <w:rPr>
          <w:rFonts w:ascii="Times New Roman CYR" w:eastAsia="Times New Roman CYR" w:hAnsi="Times New Roman CYR" w:cs="Times New Roman CYR"/>
          <w:sz w:val="20"/>
          <w:szCs w:val="20"/>
        </w:rPr>
        <w:t>Поставка гражданам в пользу их социального обеспечения в 2024 году</w:t>
      </w:r>
      <w:r w:rsidR="006D7320" w:rsidRPr="00E31731">
        <w:rPr>
          <w:b/>
          <w:bCs/>
          <w:sz w:val="20"/>
          <w:szCs w:val="20"/>
        </w:rPr>
        <w:t xml:space="preserve"> </w:t>
      </w:r>
      <w:r w:rsidRPr="00E31731">
        <w:rPr>
          <w:b/>
          <w:bCs/>
          <w:sz w:val="20"/>
          <w:szCs w:val="20"/>
        </w:rPr>
        <w:t>Телевизор с телетекстом для приема программ со скрытыми субтитрами</w:t>
      </w:r>
      <w:r w:rsidR="00190FCE">
        <w:rPr>
          <w:b/>
          <w:bCs/>
          <w:sz w:val="20"/>
          <w:szCs w:val="20"/>
        </w:rPr>
        <w:t xml:space="preserve"> с диагональю не менее 80 см.</w:t>
      </w:r>
    </w:p>
    <w:tbl>
      <w:tblPr>
        <w:tblW w:w="10443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05"/>
        <w:gridCol w:w="1080"/>
        <w:gridCol w:w="960"/>
        <w:gridCol w:w="1398"/>
      </w:tblGrid>
      <w:tr w:rsidR="00BC44A1" w:rsidTr="00466C54">
        <w:tc>
          <w:tcPr>
            <w:tcW w:w="70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4A1" w:rsidRPr="003616BB" w:rsidRDefault="008A4D2A" w:rsidP="00E31731">
            <w:pPr>
              <w:pStyle w:val="Standard"/>
              <w:tabs>
                <w:tab w:val="left" w:pos="690"/>
              </w:tabs>
              <w:snapToGrid w:val="0"/>
              <w:ind w:left="-18"/>
              <w:jc w:val="center"/>
              <w:rPr>
                <w:b/>
                <w:sz w:val="20"/>
                <w:szCs w:val="20"/>
              </w:rPr>
            </w:pPr>
            <w:r w:rsidRPr="003616BB">
              <w:rPr>
                <w:b/>
                <w:sz w:val="20"/>
                <w:szCs w:val="20"/>
              </w:rPr>
              <w:t>Наименование изделия, функциональные характеристики и технические требования</w:t>
            </w:r>
          </w:p>
        </w:tc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4A1" w:rsidRPr="003616BB" w:rsidRDefault="008A4D2A" w:rsidP="00E3173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616BB">
              <w:rPr>
                <w:b/>
                <w:sz w:val="20"/>
                <w:szCs w:val="20"/>
              </w:rPr>
              <w:t>Цена за ед. (руб.)</w:t>
            </w:r>
          </w:p>
        </w:tc>
        <w:tc>
          <w:tcPr>
            <w:tcW w:w="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4A1" w:rsidRPr="003616BB" w:rsidRDefault="008A4D2A" w:rsidP="00E3173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616BB">
              <w:rPr>
                <w:b/>
                <w:sz w:val="20"/>
                <w:szCs w:val="20"/>
              </w:rPr>
              <w:t>Кол-во (шт.)</w:t>
            </w:r>
          </w:p>
        </w:tc>
        <w:tc>
          <w:tcPr>
            <w:tcW w:w="13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4A1" w:rsidRPr="003616BB" w:rsidRDefault="008A4D2A" w:rsidP="00E3173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616BB">
              <w:rPr>
                <w:b/>
                <w:sz w:val="20"/>
                <w:szCs w:val="20"/>
              </w:rPr>
              <w:t>Сумма (руб.)</w:t>
            </w:r>
          </w:p>
        </w:tc>
      </w:tr>
      <w:tr w:rsidR="00BC44A1" w:rsidTr="00466C54">
        <w:trPr>
          <w:cantSplit/>
        </w:trPr>
        <w:tc>
          <w:tcPr>
            <w:tcW w:w="70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FCE" w:rsidRDefault="00190FCE" w:rsidP="00EB1BD4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190FCE">
              <w:rPr>
                <w:rFonts w:eastAsia="Arial"/>
                <w:b/>
                <w:color w:val="000000"/>
                <w:sz w:val="20"/>
                <w:szCs w:val="20"/>
              </w:rPr>
              <w:t>Телевизор с телетекстом для приема программ со скрытыми субтитр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ами с диагональю не менее 80 см, 18-01-01</w:t>
            </w:r>
          </w:p>
          <w:p w:rsidR="00EB1BD4" w:rsidRPr="00190FCE" w:rsidRDefault="00190FCE" w:rsidP="00EB1BD4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lang w:bidi="ar-SA"/>
              </w:rPr>
            </w:pPr>
            <w:r w:rsidRPr="00190FCE">
              <w:rPr>
                <w:rFonts w:eastAsia="Arial"/>
                <w:color w:val="000000"/>
                <w:sz w:val="20"/>
                <w:szCs w:val="20"/>
              </w:rPr>
              <w:t>Т</w:t>
            </w:r>
            <w:r w:rsidR="00EB1BD4" w:rsidRPr="00190FCE">
              <w:rPr>
                <w:rFonts w:eastAsia="Arial"/>
                <w:color w:val="000000"/>
                <w:sz w:val="20"/>
                <w:szCs w:val="20"/>
              </w:rPr>
              <w:t>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      </w:r>
          </w:p>
          <w:p w:rsidR="00EB1BD4" w:rsidRDefault="00EB1BD4" w:rsidP="00EB1BD4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Телевизор должен быть жидкокристаллическим.</w:t>
            </w:r>
          </w:p>
          <w:p w:rsidR="00EB1BD4" w:rsidRDefault="00EB1BD4" w:rsidP="00EB1BD4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Диагональ телевизора должен быть не менее 80 см</w:t>
            </w:r>
            <w:r w:rsidR="008F7DCF">
              <w:rPr>
                <w:rFonts w:eastAsia="Arial"/>
                <w:color w:val="000000"/>
                <w:sz w:val="20"/>
                <w:szCs w:val="20"/>
              </w:rPr>
              <w:t xml:space="preserve"> (не менее 32 дюйма)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:rsidR="00EB1BD4" w:rsidRDefault="00EB1BD4" w:rsidP="00EB1BD4">
            <w:pPr>
              <w:jc w:val="both"/>
              <w:rPr>
                <w:rFonts w:eastAsia="Arial"/>
                <w:i/>
                <w:color w:val="000000"/>
                <w:sz w:val="20"/>
                <w:szCs w:val="20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</w:rPr>
              <w:t>(участник в своей заявке должен конкретизировать данный показатель)</w:t>
            </w:r>
          </w:p>
          <w:p w:rsidR="00EB1BD4" w:rsidRDefault="00EB1BD4" w:rsidP="00EB1BD4">
            <w:pPr>
              <w:jc w:val="both"/>
              <w:rPr>
                <w:rFonts w:eastAsia="Arial"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 экрана 16:9;</w:t>
            </w:r>
          </w:p>
          <w:p w:rsidR="00EB1BD4" w:rsidRDefault="00EB1BD4" w:rsidP="00EB1BD4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Технические характеристики:</w:t>
            </w:r>
          </w:p>
          <w:p w:rsidR="00EB1BD4" w:rsidRDefault="00EB1BD4" w:rsidP="00EB1BD4">
            <w:pPr>
              <w:jc w:val="both"/>
              <w:rPr>
                <w:rFonts w:eastAsia="Arial"/>
                <w:i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- Частота обновления не менее 50 ГЦ </w:t>
            </w:r>
            <w:r>
              <w:rPr>
                <w:rFonts w:eastAsia="Arial"/>
                <w:i/>
                <w:color w:val="000000"/>
                <w:sz w:val="20"/>
                <w:szCs w:val="20"/>
              </w:rPr>
              <w:t>(участник в своей заявке должен конкретизировать данный показатель)</w:t>
            </w:r>
          </w:p>
          <w:p w:rsidR="008F7DCF" w:rsidRDefault="008F7DCF" w:rsidP="00EB1BD4">
            <w:pPr>
              <w:jc w:val="both"/>
              <w:rPr>
                <w:rFonts w:eastAsia="Arial"/>
                <w:i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- </w:t>
            </w:r>
            <w:r w:rsidRPr="008F7DCF">
              <w:rPr>
                <w:rFonts w:eastAsia="Arial"/>
                <w:color w:val="000000"/>
                <w:sz w:val="20"/>
                <w:szCs w:val="20"/>
              </w:rPr>
              <w:t>Класс энергетической эффективности «А» и выше</w:t>
            </w:r>
            <w:r>
              <w:rPr>
                <w:rFonts w:eastAsia="Arial"/>
                <w:i/>
                <w:color w:val="000000"/>
                <w:sz w:val="20"/>
                <w:szCs w:val="20"/>
              </w:rPr>
              <w:t xml:space="preserve"> (участник в своей заявке должен конкретизировать данный показатель)</w:t>
            </w:r>
          </w:p>
          <w:p w:rsidR="00EB1BD4" w:rsidRDefault="00EB1BD4" w:rsidP="00EB1BD4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Поддержка стандартов </w:t>
            </w:r>
            <w:r>
              <w:rPr>
                <w:rFonts w:eastAsia="Arial"/>
                <w:color w:val="000000"/>
                <w:sz w:val="20"/>
                <w:szCs w:val="20"/>
                <w:lang w:val="en-US"/>
              </w:rPr>
              <w:t>DVB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2; </w:t>
            </w:r>
            <w:r>
              <w:rPr>
                <w:rFonts w:eastAsia="Arial"/>
                <w:color w:val="000000"/>
                <w:sz w:val="20"/>
                <w:szCs w:val="20"/>
                <w:lang w:val="en-US"/>
              </w:rPr>
              <w:t>DVB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eastAsia="Arial"/>
                <w:color w:val="000000"/>
                <w:sz w:val="20"/>
                <w:szCs w:val="20"/>
              </w:rPr>
              <w:t>;</w:t>
            </w:r>
          </w:p>
          <w:p w:rsidR="008F7DCF" w:rsidRPr="008F7DCF" w:rsidRDefault="008F7DCF" w:rsidP="00EB1BD4">
            <w:pPr>
              <w:jc w:val="both"/>
              <w:rPr>
                <w:rFonts w:eastAsia="Arial"/>
                <w:i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- Количество принимаемых каналов не менее 30 </w:t>
            </w:r>
            <w:r>
              <w:rPr>
                <w:rFonts w:eastAsia="Arial"/>
                <w:i/>
                <w:color w:val="000000"/>
                <w:sz w:val="20"/>
                <w:szCs w:val="20"/>
              </w:rPr>
              <w:t>(участник в своей заявке должен конкретизировать данный показатель)</w:t>
            </w:r>
          </w:p>
          <w:p w:rsidR="00EB1BD4" w:rsidRDefault="00EB1BD4" w:rsidP="00EB1BD4">
            <w:pPr>
              <w:jc w:val="both"/>
              <w:rPr>
                <w:rFonts w:eastAsia="Arial"/>
                <w:i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- Телетекст с памятью не менее 10 страниц; </w:t>
            </w:r>
            <w:r>
              <w:rPr>
                <w:rFonts w:eastAsia="Arial"/>
                <w:i/>
                <w:color w:val="000000"/>
                <w:sz w:val="20"/>
                <w:szCs w:val="20"/>
              </w:rPr>
              <w:t>(участник в своей заявке должен конкретизировать данный показатель)</w:t>
            </w:r>
          </w:p>
          <w:p w:rsidR="00EB1BD4" w:rsidRDefault="00EB1BD4" w:rsidP="00EB1BD4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 Наличие разъемов для наушников;</w:t>
            </w:r>
          </w:p>
          <w:p w:rsidR="00EB1BD4" w:rsidRDefault="00EB1BD4" w:rsidP="00EB1BD4">
            <w:pPr>
              <w:jc w:val="both"/>
              <w:rPr>
                <w:rFonts w:eastAsia="Arial"/>
                <w:i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- Мощность звука не менее 2 Вт; </w:t>
            </w:r>
            <w:r>
              <w:rPr>
                <w:rFonts w:eastAsia="Arial"/>
                <w:i/>
                <w:color w:val="000000"/>
                <w:sz w:val="20"/>
                <w:szCs w:val="20"/>
              </w:rPr>
              <w:t>(участник в своей заявке должен конкретизировать данный показатель)</w:t>
            </w:r>
          </w:p>
          <w:p w:rsidR="00EB1BD4" w:rsidRDefault="00EB1BD4" w:rsidP="00EB1BD4">
            <w:pPr>
              <w:jc w:val="both"/>
              <w:rPr>
                <w:rFonts w:eastAsia="Arial"/>
                <w:i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- Акустическая система не менее одного динамика; </w:t>
            </w:r>
            <w:r>
              <w:rPr>
                <w:rFonts w:eastAsia="Arial"/>
                <w:i/>
                <w:color w:val="000000"/>
                <w:sz w:val="20"/>
                <w:szCs w:val="20"/>
              </w:rPr>
              <w:t>(участник в своей заявке должен конкретизировать данный показатель)</w:t>
            </w:r>
          </w:p>
          <w:p w:rsidR="00EB1BD4" w:rsidRDefault="00EB1BD4" w:rsidP="00EB1BD4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</w:t>
            </w:r>
            <w:r w:rsidRPr="004839F5">
              <w:rPr>
                <w:rFonts w:eastAsia="Arial"/>
                <w:b/>
                <w:color w:val="000000"/>
                <w:sz w:val="20"/>
                <w:szCs w:val="20"/>
              </w:rPr>
              <w:t>ГОСТ Р 50861-96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«Система телетекст. Основные параметры. Методы измерения.)</w:t>
            </w:r>
          </w:p>
          <w:p w:rsidR="004839F5" w:rsidRPr="004839F5" w:rsidRDefault="004839F5" w:rsidP="00EB1BD4">
            <w:pPr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4839F5">
              <w:rPr>
                <w:rFonts w:cs="Times New Roman"/>
                <w:b/>
                <w:color w:val="000000"/>
                <w:spacing w:val="5"/>
                <w:sz w:val="20"/>
                <w:szCs w:val="20"/>
                <w:shd w:val="clear" w:color="auto" w:fill="FFFFFF"/>
              </w:rPr>
              <w:t>ГОСТ Р 51632-2021</w:t>
            </w:r>
            <w:r w:rsidRPr="004839F5">
              <w:rPr>
                <w:rFonts w:cs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Технические средства реабилитации людей с ограничениями жизнедеятельности. Общие технические требования и методы испытаний</w:t>
            </w:r>
            <w:r>
              <w:rPr>
                <w:rFonts w:cs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>.</w:t>
            </w:r>
          </w:p>
          <w:p w:rsidR="004839F5" w:rsidRPr="004839F5" w:rsidRDefault="004839F5" w:rsidP="00EB1BD4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4839F5">
              <w:rPr>
                <w:rFonts w:eastAsia="Times New Roman"/>
                <w:b/>
                <w:kern w:val="0"/>
                <w:sz w:val="20"/>
                <w:szCs w:val="20"/>
              </w:rPr>
              <w:t xml:space="preserve">ГОСТ Р ИСО 9999-2019 </w:t>
            </w:r>
            <w:r w:rsidRPr="004839F5">
              <w:rPr>
                <w:rFonts w:eastAsia="Times New Roman"/>
                <w:kern w:val="0"/>
                <w:sz w:val="20"/>
                <w:szCs w:val="20"/>
              </w:rPr>
              <w:t>«Национальный стандарт Российской Федерации. Вспомогательные средства для людей с ограничениями жизнедеятельности. Классификация и терминология».</w:t>
            </w:r>
          </w:p>
          <w:p w:rsidR="00EB1BD4" w:rsidRDefault="00EB1BD4" w:rsidP="00EB1BD4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Меню должно быть на русском языке.</w:t>
            </w:r>
          </w:p>
          <w:p w:rsidR="00EB1BD4" w:rsidRDefault="00EB1BD4" w:rsidP="00EB1BD4">
            <w:pPr>
              <w:widowControl/>
              <w:autoSpaceDN/>
              <w:jc w:val="both"/>
              <w:textAlignment w:val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  <w:p w:rsidR="00E13831" w:rsidRPr="00E13831" w:rsidRDefault="00E13831" w:rsidP="00EB1BD4">
            <w:pPr>
              <w:widowControl/>
              <w:autoSpaceDN/>
              <w:jc w:val="both"/>
              <w:textAlignment w:val="auto"/>
              <w:rPr>
                <w:kern w:val="1"/>
                <w:sz w:val="20"/>
                <w:szCs w:val="20"/>
                <w:lang w:eastAsia="hi-IN"/>
              </w:rPr>
            </w:pPr>
            <w:r w:rsidRPr="00E13831">
              <w:rPr>
                <w:b/>
                <w:bCs/>
                <w:kern w:val="1"/>
                <w:sz w:val="20"/>
                <w:szCs w:val="20"/>
                <w:lang w:eastAsia="hi-IN"/>
              </w:rPr>
              <w:t>Гарантийный срок</w:t>
            </w:r>
            <w:r>
              <w:rPr>
                <w:kern w:val="1"/>
                <w:sz w:val="20"/>
                <w:szCs w:val="20"/>
                <w:lang w:eastAsia="hi-IN"/>
              </w:rPr>
              <w:t xml:space="preserve"> должен быть не менее 12</w:t>
            </w:r>
            <w:r w:rsidRPr="00E13831">
              <w:rPr>
                <w:kern w:val="1"/>
                <w:sz w:val="20"/>
                <w:szCs w:val="20"/>
                <w:lang w:eastAsia="hi-IN"/>
              </w:rPr>
              <w:t xml:space="preserve"> месяцев с момента подписания Получателем Акта сдачи-приемки товара.</w:t>
            </w:r>
          </w:p>
          <w:p w:rsidR="00E13831" w:rsidRPr="00EC28E7" w:rsidRDefault="00E13831" w:rsidP="00EC28E7">
            <w:pPr>
              <w:widowControl/>
              <w:autoSpaceDN/>
              <w:jc w:val="both"/>
              <w:textAlignment w:val="auto"/>
              <w:rPr>
                <w:kern w:val="1"/>
                <w:sz w:val="20"/>
                <w:szCs w:val="20"/>
                <w:lang w:eastAsia="hi-IN"/>
              </w:rPr>
            </w:pPr>
            <w:r w:rsidRPr="00E13831">
              <w:rPr>
                <w:kern w:val="1"/>
                <w:sz w:val="20"/>
                <w:szCs w:val="20"/>
                <w:lang w:eastAsia="hi-IN"/>
              </w:rPr>
              <w:t>Срок гарантийного ремонта со дня обращения инвалида не должен превышать 30 (тридцати) рабочих дней.</w:t>
            </w:r>
          </w:p>
        </w:tc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4A1" w:rsidRDefault="00004DC5" w:rsidP="00512127">
            <w:pPr>
              <w:widowControl/>
              <w:suppressAutoHyphens w:val="0"/>
              <w:autoSpaceDN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="00512127">
              <w:rPr>
                <w:bCs/>
                <w:color w:val="000000"/>
                <w:sz w:val="20"/>
                <w:szCs w:val="20"/>
              </w:rPr>
              <w:t> 760,33</w:t>
            </w:r>
          </w:p>
        </w:tc>
        <w:tc>
          <w:tcPr>
            <w:tcW w:w="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4A1" w:rsidRPr="00E31731" w:rsidRDefault="008F7E33" w:rsidP="00E31731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</w:t>
            </w:r>
          </w:p>
          <w:p w:rsidR="00E31731" w:rsidRPr="00E31731" w:rsidRDefault="00E31731" w:rsidP="00E31731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4A1" w:rsidRPr="00E31731" w:rsidRDefault="008F7E33" w:rsidP="00E31731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1 918 842,90</w:t>
            </w:r>
          </w:p>
          <w:p w:rsidR="00E31731" w:rsidRPr="00E31731" w:rsidRDefault="00E31731" w:rsidP="00E31731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6555B" w:rsidTr="00466C54">
        <w:trPr>
          <w:cantSplit/>
        </w:trPr>
        <w:tc>
          <w:tcPr>
            <w:tcW w:w="70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55B" w:rsidRDefault="00D6555B" w:rsidP="00D6555B">
            <w:pPr>
              <w:tabs>
                <w:tab w:val="left" w:pos="0"/>
              </w:tabs>
              <w:snapToGrid w:val="0"/>
              <w:jc w:val="right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55B" w:rsidRDefault="00D6555B" w:rsidP="00D6555B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55B" w:rsidRPr="00D6555B" w:rsidRDefault="008F7E33" w:rsidP="005E6C2E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55B" w:rsidRPr="00D6555B" w:rsidRDefault="008F7E33" w:rsidP="005E6C2E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1 918 842,90</w:t>
            </w:r>
          </w:p>
        </w:tc>
      </w:tr>
    </w:tbl>
    <w:p w:rsidR="00244E6F" w:rsidRDefault="00244E6F" w:rsidP="00E31731">
      <w:pPr>
        <w:spacing w:line="0" w:lineRule="atLeast"/>
        <w:ind w:firstLine="567"/>
        <w:rPr>
          <w:b/>
          <w:bCs/>
          <w:sz w:val="20"/>
          <w:szCs w:val="20"/>
        </w:rPr>
      </w:pPr>
    </w:p>
    <w:p w:rsidR="00465DFA" w:rsidRDefault="009C41E0" w:rsidP="00465DFA">
      <w:pPr>
        <w:spacing w:line="276" w:lineRule="auto"/>
        <w:ind w:firstLine="585"/>
        <w:jc w:val="both"/>
        <w:rPr>
          <w:rFonts w:eastAsia="Times New Roman CYR" w:cs="Times New Roman CYR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rFonts w:ascii="Times New Roman CYR" w:hAnsi="Times New Roman CYR"/>
          <w:b/>
          <w:bCs/>
          <w:sz w:val="20"/>
          <w:szCs w:val="20"/>
        </w:rPr>
        <w:t xml:space="preserve">Источник финансирования заказа: </w:t>
      </w:r>
      <w:r w:rsidR="00465DFA" w:rsidRPr="00F87463">
        <w:rPr>
          <w:rFonts w:ascii="Times New Roman CYR" w:hAnsi="Times New Roman CYR"/>
          <w:bCs/>
          <w:sz w:val="20"/>
          <w:szCs w:val="20"/>
        </w:rPr>
        <w:t>Б</w:t>
      </w:r>
      <w:r w:rsidR="00465DFA">
        <w:rPr>
          <w:rFonts w:ascii="Times New Roman CYR" w:hAnsi="Times New Roman CYR"/>
          <w:bCs/>
          <w:sz w:val="20"/>
          <w:szCs w:val="20"/>
        </w:rPr>
        <w:t>юджет Фонда пенсионного и социального страхования РФ.</w:t>
      </w:r>
    </w:p>
    <w:p w:rsidR="00E31731" w:rsidRDefault="009C41E0" w:rsidP="00465DFA">
      <w:pPr>
        <w:spacing w:line="0" w:lineRule="atLeast"/>
        <w:ind w:firstLine="567"/>
        <w:rPr>
          <w:rFonts w:eastAsia="Times New Roman" w:cs="Times New Roman"/>
          <w:bCs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4.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Начальная (максимальная) цена контракта</w:t>
      </w:r>
      <w:r w:rsidR="001D5784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: </w:t>
      </w:r>
      <w:r w:rsidR="008F7E33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 w:bidi="ar-SA"/>
        </w:rPr>
        <w:t>1 918 842</w:t>
      </w:r>
      <w:r w:rsidR="005E6C2E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 w:bidi="ar-SA"/>
        </w:rPr>
        <w:t xml:space="preserve"> </w:t>
      </w:r>
      <w:r w:rsidR="00413DFE">
        <w:rPr>
          <w:rFonts w:eastAsia="Times New Roman" w:cs="Times New Roman"/>
          <w:bCs/>
          <w:color w:val="000000"/>
          <w:kern w:val="0"/>
          <w:sz w:val="20"/>
          <w:szCs w:val="20"/>
          <w:lang w:eastAsia="ru-RU" w:bidi="ar-SA"/>
        </w:rPr>
        <w:t>рубл</w:t>
      </w:r>
      <w:r w:rsidR="008F7E33">
        <w:rPr>
          <w:rFonts w:eastAsia="Times New Roman" w:cs="Times New Roman"/>
          <w:bCs/>
          <w:color w:val="000000"/>
          <w:kern w:val="0"/>
          <w:sz w:val="20"/>
          <w:szCs w:val="20"/>
          <w:lang w:eastAsia="ru-RU" w:bidi="ar-SA"/>
        </w:rPr>
        <w:t>я</w:t>
      </w:r>
      <w:r w:rsidR="00544505">
        <w:rPr>
          <w:rFonts w:eastAsia="Times New Roman" w:cs="Times New Roman"/>
          <w:bCs/>
          <w:color w:val="000000"/>
          <w:kern w:val="0"/>
          <w:sz w:val="20"/>
          <w:szCs w:val="20"/>
          <w:lang w:eastAsia="ru-RU" w:bidi="ar-SA"/>
        </w:rPr>
        <w:t xml:space="preserve"> </w:t>
      </w:r>
      <w:r w:rsidR="008F7E33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 w:bidi="ar-SA"/>
        </w:rPr>
        <w:t>9</w:t>
      </w:r>
      <w:r w:rsidR="007C5CAD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 w:bidi="ar-SA"/>
        </w:rPr>
        <w:t>0</w:t>
      </w:r>
      <w:r w:rsidR="005E6C2E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 w:bidi="ar-SA"/>
        </w:rPr>
        <w:t xml:space="preserve"> </w:t>
      </w:r>
      <w:r w:rsidR="000E223D">
        <w:rPr>
          <w:rFonts w:eastAsia="Times New Roman" w:cs="Times New Roman"/>
          <w:bCs/>
          <w:color w:val="000000"/>
          <w:kern w:val="0"/>
          <w:sz w:val="20"/>
          <w:szCs w:val="20"/>
          <w:lang w:eastAsia="ru-RU" w:bidi="ar-SA"/>
        </w:rPr>
        <w:t>копеек</w:t>
      </w:r>
      <w:r w:rsidR="00E31731" w:rsidRPr="00E31731">
        <w:rPr>
          <w:rFonts w:eastAsia="Times New Roman" w:cs="Times New Roman"/>
          <w:bCs/>
          <w:color w:val="000000"/>
          <w:kern w:val="0"/>
          <w:sz w:val="20"/>
          <w:szCs w:val="20"/>
          <w:lang w:eastAsia="ru-RU" w:bidi="ar-SA"/>
        </w:rPr>
        <w:t>.</w:t>
      </w:r>
    </w:p>
    <w:p w:rsidR="00ED7CBE" w:rsidRPr="00CA0154" w:rsidRDefault="00ED7CBE" w:rsidP="00ED7CBE">
      <w:pPr>
        <w:tabs>
          <w:tab w:val="left" w:pos="45"/>
        </w:tabs>
        <w:autoSpaceDE w:val="0"/>
        <w:ind w:firstLine="567"/>
        <w:jc w:val="both"/>
      </w:pPr>
      <w:r w:rsidRPr="00CA0154">
        <w:rPr>
          <w:rFonts w:eastAsia="Times New Roman CYR"/>
          <w:b/>
          <w:bCs/>
          <w:sz w:val="20"/>
          <w:szCs w:val="20"/>
        </w:rPr>
        <w:t xml:space="preserve">5. Расчет начальной (максимальной) цены контракта: </w:t>
      </w:r>
      <w:r w:rsidRPr="00CA0154">
        <w:rPr>
          <w:rFonts w:eastAsia="Times New Roman CYR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 №2.</w:t>
      </w:r>
    </w:p>
    <w:p w:rsidR="00ED7CBE" w:rsidRPr="00CA0154" w:rsidRDefault="00ED7CBE" w:rsidP="00ED7CBE">
      <w:pPr>
        <w:tabs>
          <w:tab w:val="left" w:pos="6480"/>
          <w:tab w:val="left" w:pos="12960"/>
        </w:tabs>
        <w:spacing w:line="100" w:lineRule="atLeast"/>
        <w:ind w:firstLine="567"/>
        <w:jc w:val="both"/>
        <w:rPr>
          <w:rFonts w:eastAsia="DejaVu Sans"/>
          <w:b/>
          <w:sz w:val="20"/>
          <w:szCs w:val="20"/>
        </w:rPr>
      </w:pPr>
      <w:r w:rsidRPr="00CA0154">
        <w:rPr>
          <w:rFonts w:eastAsia="DejaVu Sans"/>
          <w:b/>
          <w:sz w:val="20"/>
          <w:szCs w:val="20"/>
        </w:rPr>
        <w:t>6. 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</w:t>
      </w:r>
    </w:p>
    <w:p w:rsidR="00ED7CBE" w:rsidRPr="00CA0154" w:rsidRDefault="00ED7CBE" w:rsidP="00ED7CBE">
      <w:pPr>
        <w:tabs>
          <w:tab w:val="left" w:pos="6480"/>
          <w:tab w:val="left" w:pos="12960"/>
        </w:tabs>
        <w:spacing w:line="100" w:lineRule="atLeast"/>
        <w:ind w:firstLine="567"/>
        <w:jc w:val="both"/>
      </w:pPr>
      <w:r w:rsidRPr="00CA0154">
        <w:rPr>
          <w:rFonts w:eastAsia="DejaVu Sans"/>
          <w:b/>
          <w:sz w:val="20"/>
          <w:szCs w:val="20"/>
        </w:rPr>
        <w:t xml:space="preserve"> </w:t>
      </w:r>
      <w:r w:rsidRPr="00CA0154">
        <w:rPr>
          <w:rFonts w:eastAsia="DejaVu Sans"/>
          <w:sz w:val="20"/>
        </w:rPr>
        <w:t xml:space="preserve">В цену Контракта включаются расходы по закупке, хранению, страхованию, уплате всех пошлин, налогов и других обязательных платежей, доставке Товара непосредственно до места </w:t>
      </w:r>
      <w:r>
        <w:rPr>
          <w:rFonts w:eastAsia="DejaVu Sans"/>
          <w:sz w:val="20"/>
        </w:rPr>
        <w:t xml:space="preserve">пребывания Получателя, до специального пункта выдачи </w:t>
      </w:r>
      <w:r w:rsidRPr="00CA0154">
        <w:rPr>
          <w:rFonts w:eastAsia="DejaVu Sans"/>
          <w:sz w:val="20"/>
        </w:rPr>
        <w:t xml:space="preserve">и иные расходы, связанные с выполнением настоящего Контракта (в случае, </w:t>
      </w:r>
      <w:r w:rsidRPr="00CA0154">
        <w:rPr>
          <w:rFonts w:eastAsia="DejaVu Sans"/>
          <w:sz w:val="20"/>
        </w:rPr>
        <w:lastRenderedPageBreak/>
        <w:t>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 уменьшении суммы, подлежащей уплате физическому лицу,</w:t>
      </w:r>
      <w:r w:rsidRPr="00CA0154">
        <w:rPr>
          <w:rFonts w:eastAsia="DejaVu Sans"/>
          <w:b/>
          <w:sz w:val="20"/>
        </w:rPr>
        <w:t xml:space="preserve"> </w:t>
      </w:r>
      <w:r w:rsidRPr="00CA0154">
        <w:rPr>
          <w:rFonts w:eastAsia="DejaVu Sans"/>
          <w:sz w:val="20"/>
        </w:rPr>
        <w:t>на размер налоговых платежей, связанных с оплатой контракта).</w:t>
      </w:r>
    </w:p>
    <w:p w:rsidR="00D03047" w:rsidRPr="00D03047" w:rsidRDefault="00D03047" w:rsidP="00D03047">
      <w:pPr>
        <w:tabs>
          <w:tab w:val="left" w:pos="6480"/>
          <w:tab w:val="left" w:pos="12960"/>
        </w:tabs>
        <w:autoSpaceDN/>
        <w:ind w:firstLine="567"/>
        <w:jc w:val="both"/>
        <w:textAlignment w:val="auto"/>
        <w:rPr>
          <w:rFonts w:eastAsia="DejaVu Sans"/>
          <w:b/>
          <w:kern w:val="1"/>
          <w:sz w:val="20"/>
          <w:szCs w:val="20"/>
          <w:lang w:eastAsia="hi-IN"/>
        </w:rPr>
      </w:pPr>
      <w:r w:rsidRPr="00D03047">
        <w:rPr>
          <w:rFonts w:eastAsia="DejaVu Sans"/>
          <w:b/>
          <w:kern w:val="1"/>
          <w:sz w:val="20"/>
          <w:szCs w:val="20"/>
          <w:lang w:eastAsia="hi-IN"/>
        </w:rPr>
        <w:t>7. Место, условия и сроки (периоды) поставки товара, выполнения работ, оказания услуг:</w:t>
      </w:r>
    </w:p>
    <w:p w:rsidR="00D03047" w:rsidRPr="00D03047" w:rsidRDefault="00D03047" w:rsidP="00D03047">
      <w:pPr>
        <w:tabs>
          <w:tab w:val="left" w:pos="6480"/>
          <w:tab w:val="left" w:pos="12960"/>
        </w:tabs>
        <w:autoSpaceDN/>
        <w:ind w:firstLine="567"/>
        <w:jc w:val="both"/>
        <w:textAlignment w:val="auto"/>
        <w:rPr>
          <w:kern w:val="1"/>
          <w:lang w:eastAsia="hi-IN"/>
        </w:rPr>
      </w:pPr>
      <w:r w:rsidRPr="00D03047">
        <w:rPr>
          <w:kern w:val="1"/>
          <w:sz w:val="20"/>
          <w:szCs w:val="20"/>
          <w:lang w:eastAsia="hi-IN"/>
        </w:rPr>
        <w:t>Территория Республики Саха (Якутия). После уведомления Заказчика о поставке Товара на территорию ГО «Якутск», и получения от Заказчика реестра получателей Товара, Поставщик производит поставку Товара до Получателей (по месту пребывания, по месту нахождения пункта выдачи, по месту нахождения Поставщика или иное по выбору Получателя).</w:t>
      </w:r>
    </w:p>
    <w:p w:rsidR="00D03047" w:rsidRPr="00D03047" w:rsidRDefault="00D03047" w:rsidP="00D03047">
      <w:pPr>
        <w:tabs>
          <w:tab w:val="left" w:pos="6480"/>
          <w:tab w:val="left" w:pos="12960"/>
        </w:tabs>
        <w:autoSpaceDN/>
        <w:ind w:firstLine="567"/>
        <w:jc w:val="both"/>
        <w:textAlignment w:val="auto"/>
        <w:rPr>
          <w:kern w:val="1"/>
          <w:lang w:eastAsia="hi-IN"/>
        </w:rPr>
      </w:pPr>
      <w:r w:rsidRPr="00D03047">
        <w:rPr>
          <w:rFonts w:eastAsia="DejaVu Sans"/>
          <w:kern w:val="1"/>
          <w:sz w:val="20"/>
          <w:szCs w:val="20"/>
          <w:lang w:eastAsia="hi-IN"/>
        </w:rPr>
        <w:t xml:space="preserve">Весь объем товара должен быть поставлен на территорию </w:t>
      </w:r>
      <w:r w:rsidRPr="00D03047">
        <w:rPr>
          <w:kern w:val="1"/>
          <w:sz w:val="20"/>
          <w:szCs w:val="20"/>
          <w:shd w:val="clear" w:color="auto" w:fill="FFFFFF"/>
          <w:lang w:eastAsia="hi-IN"/>
        </w:rPr>
        <w:t>ГО «Якутск»</w:t>
      </w:r>
      <w:r w:rsidR="00413DFE">
        <w:rPr>
          <w:rFonts w:eastAsia="DejaVu Sans"/>
          <w:kern w:val="1"/>
          <w:sz w:val="20"/>
          <w:szCs w:val="20"/>
          <w:lang w:eastAsia="hi-IN"/>
        </w:rPr>
        <w:t xml:space="preserve"> - в течение 3</w:t>
      </w:r>
      <w:r w:rsidRPr="00D03047">
        <w:rPr>
          <w:rFonts w:eastAsia="DejaVu Sans"/>
          <w:kern w:val="1"/>
          <w:sz w:val="20"/>
          <w:szCs w:val="20"/>
          <w:lang w:eastAsia="hi-IN"/>
        </w:rPr>
        <w:t>0 (</w:t>
      </w:r>
      <w:r w:rsidR="00413DFE">
        <w:rPr>
          <w:rFonts w:eastAsia="DejaVu Sans"/>
          <w:kern w:val="1"/>
          <w:sz w:val="20"/>
          <w:szCs w:val="20"/>
          <w:lang w:eastAsia="hi-IN"/>
        </w:rPr>
        <w:t>тридцати</w:t>
      </w:r>
      <w:r w:rsidRPr="00D03047">
        <w:rPr>
          <w:rFonts w:eastAsia="DejaVu Sans"/>
          <w:kern w:val="1"/>
          <w:sz w:val="20"/>
          <w:szCs w:val="20"/>
          <w:lang w:eastAsia="hi-IN"/>
        </w:rPr>
        <w:t xml:space="preserve">) календарных дней с момента заключения Государственного контракта. </w:t>
      </w:r>
    </w:p>
    <w:p w:rsidR="00D03047" w:rsidRPr="00D03047" w:rsidRDefault="00D03047" w:rsidP="00D03047">
      <w:pPr>
        <w:tabs>
          <w:tab w:val="left" w:pos="432"/>
        </w:tabs>
        <w:autoSpaceDN/>
        <w:ind w:firstLine="567"/>
        <w:jc w:val="both"/>
        <w:textAlignment w:val="auto"/>
        <w:rPr>
          <w:kern w:val="1"/>
          <w:lang w:eastAsia="hi-IN"/>
        </w:rPr>
      </w:pPr>
      <w:r w:rsidRPr="00D03047">
        <w:rPr>
          <w:kern w:val="1"/>
          <w:sz w:val="20"/>
          <w:szCs w:val="20"/>
          <w:lang w:eastAsia="hi-IN"/>
        </w:rPr>
        <w:t>Выдача Товара Получателю, указанному в Реестре получателей Товара, в соответствии с выбранным им способом получени</w:t>
      </w:r>
      <w:r w:rsidRPr="00D03047">
        <w:rPr>
          <w:kern w:val="1"/>
          <w:sz w:val="20"/>
          <w:szCs w:val="20"/>
          <w:shd w:val="clear" w:color="auto" w:fill="FFFFFF"/>
          <w:lang w:eastAsia="hi-IN"/>
        </w:rPr>
        <w:t xml:space="preserve">я Товара в течение 30 (тридцати) календарных дней с даты получения Реестра получателей Товара от Заказчика, с предварительным уведомлением Получателя о предстоящей поставке Товара не позднее, чем за два дня до предполагаемой даты поставки, но не позднее </w:t>
      </w:r>
      <w:r w:rsidRPr="00D03047">
        <w:rPr>
          <w:b/>
          <w:kern w:val="1"/>
          <w:sz w:val="20"/>
          <w:szCs w:val="20"/>
          <w:shd w:val="clear" w:color="auto" w:fill="FFFFFF"/>
          <w:lang w:eastAsia="hi-IN"/>
        </w:rPr>
        <w:t>«</w:t>
      </w:r>
      <w:r w:rsidR="006D7320">
        <w:rPr>
          <w:b/>
          <w:kern w:val="1"/>
          <w:sz w:val="20"/>
          <w:szCs w:val="20"/>
          <w:shd w:val="clear" w:color="auto" w:fill="FFFFFF"/>
          <w:lang w:eastAsia="hi-IN"/>
        </w:rPr>
        <w:t>2</w:t>
      </w:r>
      <w:r w:rsidR="000E223D">
        <w:rPr>
          <w:b/>
          <w:kern w:val="1"/>
          <w:sz w:val="20"/>
          <w:szCs w:val="20"/>
          <w:shd w:val="clear" w:color="auto" w:fill="FFFFFF"/>
          <w:lang w:eastAsia="hi-IN"/>
        </w:rPr>
        <w:t xml:space="preserve">» </w:t>
      </w:r>
      <w:r w:rsidR="006D7320">
        <w:rPr>
          <w:b/>
          <w:kern w:val="1"/>
          <w:sz w:val="20"/>
          <w:szCs w:val="20"/>
          <w:shd w:val="clear" w:color="auto" w:fill="FFFFFF"/>
          <w:lang w:eastAsia="hi-IN"/>
        </w:rPr>
        <w:t>декабря</w:t>
      </w:r>
      <w:r w:rsidR="000E223D">
        <w:rPr>
          <w:b/>
          <w:kern w:val="1"/>
          <w:sz w:val="20"/>
          <w:szCs w:val="20"/>
          <w:shd w:val="clear" w:color="auto" w:fill="FFFFFF"/>
          <w:lang w:eastAsia="hi-IN"/>
        </w:rPr>
        <w:t xml:space="preserve"> 202</w:t>
      </w:r>
      <w:r w:rsidR="005E6C2E">
        <w:rPr>
          <w:b/>
          <w:kern w:val="1"/>
          <w:sz w:val="20"/>
          <w:szCs w:val="20"/>
          <w:shd w:val="clear" w:color="auto" w:fill="FFFFFF"/>
          <w:lang w:eastAsia="hi-IN"/>
        </w:rPr>
        <w:t>4</w:t>
      </w:r>
      <w:r w:rsidRPr="00D03047">
        <w:rPr>
          <w:b/>
          <w:kern w:val="1"/>
          <w:sz w:val="20"/>
          <w:szCs w:val="20"/>
          <w:shd w:val="clear" w:color="auto" w:fill="FFFFFF"/>
          <w:lang w:eastAsia="hi-IN"/>
        </w:rPr>
        <w:t xml:space="preserve"> г</w:t>
      </w:r>
      <w:r w:rsidRPr="00D03047">
        <w:rPr>
          <w:b/>
          <w:kern w:val="1"/>
          <w:sz w:val="20"/>
          <w:szCs w:val="20"/>
          <w:lang w:eastAsia="hi-IN"/>
        </w:rPr>
        <w:t>.</w:t>
      </w:r>
      <w:r w:rsidRPr="00D03047">
        <w:rPr>
          <w:kern w:val="1"/>
          <w:sz w:val="20"/>
          <w:szCs w:val="20"/>
          <w:lang w:eastAsia="hi-IN"/>
        </w:rPr>
        <w:t xml:space="preserve"> П</w:t>
      </w:r>
      <w:r w:rsidRPr="00D03047">
        <w:rPr>
          <w:kern w:val="1"/>
          <w:sz w:val="20"/>
          <w:szCs w:val="20"/>
          <w:shd w:val="clear" w:color="auto" w:fill="FFFFFF"/>
          <w:lang w:eastAsia="hi-IN"/>
        </w:rPr>
        <w:t>оставка осуществляется в упаковке,</w:t>
      </w:r>
      <w:r w:rsidRPr="00D03047">
        <w:rPr>
          <w:kern w:val="1"/>
          <w:sz w:val="20"/>
          <w:szCs w:val="20"/>
          <w:lang w:eastAsia="hi-IN"/>
        </w:rPr>
        <w:t xml:space="preserve"> обеспечивающей сохранности Товар</w:t>
      </w:r>
      <w:r w:rsidR="00AD1A7B">
        <w:rPr>
          <w:kern w:val="1"/>
          <w:sz w:val="20"/>
          <w:szCs w:val="20"/>
          <w:lang w:eastAsia="hi-IN"/>
        </w:rPr>
        <w:t>ов</w:t>
      </w:r>
      <w:r w:rsidRPr="00D03047">
        <w:rPr>
          <w:kern w:val="1"/>
          <w:sz w:val="20"/>
          <w:szCs w:val="20"/>
          <w:lang w:eastAsia="hi-IN"/>
        </w:rPr>
        <w:t xml:space="preserve"> во время перевозки.</w:t>
      </w:r>
    </w:p>
    <w:p w:rsidR="00D03047" w:rsidRPr="00D03047" w:rsidRDefault="00D03047" w:rsidP="00D03047">
      <w:pPr>
        <w:tabs>
          <w:tab w:val="left" w:pos="6480"/>
          <w:tab w:val="left" w:pos="12960"/>
        </w:tabs>
        <w:autoSpaceDE w:val="0"/>
        <w:autoSpaceDN/>
        <w:ind w:firstLine="567"/>
        <w:jc w:val="both"/>
        <w:textAlignment w:val="auto"/>
        <w:rPr>
          <w:kern w:val="1"/>
          <w:lang w:eastAsia="hi-IN"/>
        </w:rPr>
      </w:pPr>
      <w:r w:rsidRPr="00D03047">
        <w:rPr>
          <w:rFonts w:eastAsia="DejaVu Sans"/>
          <w:kern w:val="1"/>
          <w:sz w:val="20"/>
          <w:szCs w:val="20"/>
          <w:shd w:val="clear" w:color="auto" w:fill="FFFFFF"/>
          <w:lang w:eastAsia="hi-IN"/>
        </w:rPr>
        <w:t>Список получателей в разрезе районов Республики Саха</w:t>
      </w:r>
      <w:r w:rsidR="006D7320">
        <w:rPr>
          <w:rFonts w:eastAsia="DejaVu Sans"/>
          <w:kern w:val="1"/>
          <w:sz w:val="20"/>
          <w:szCs w:val="20"/>
          <w:shd w:val="clear" w:color="auto" w:fill="FFFFFF"/>
          <w:lang w:eastAsia="hi-IN"/>
        </w:rPr>
        <w:t xml:space="preserve"> (Якутия) указан в приложении №5</w:t>
      </w:r>
      <w:r w:rsidRPr="00D03047">
        <w:rPr>
          <w:rFonts w:eastAsia="DejaVu Sans"/>
          <w:kern w:val="1"/>
          <w:sz w:val="20"/>
          <w:szCs w:val="20"/>
          <w:shd w:val="clear" w:color="auto" w:fill="FFFFFF"/>
          <w:lang w:eastAsia="hi-IN"/>
        </w:rPr>
        <w:t>. Данный список может быть скорректирован в течении периода действия контракт</w:t>
      </w:r>
      <w:r w:rsidR="00CC24A4">
        <w:rPr>
          <w:rFonts w:eastAsia="DejaVu Sans"/>
          <w:kern w:val="1"/>
          <w:sz w:val="20"/>
          <w:szCs w:val="20"/>
          <w:shd w:val="clear" w:color="auto" w:fill="FFFFFF"/>
          <w:lang w:eastAsia="hi-IN"/>
        </w:rPr>
        <w:t>а.</w:t>
      </w:r>
    </w:p>
    <w:p w:rsidR="00D03047" w:rsidRPr="00D03047" w:rsidRDefault="00D03047" w:rsidP="00D03047">
      <w:pPr>
        <w:tabs>
          <w:tab w:val="left" w:pos="6480"/>
          <w:tab w:val="left" w:pos="12960"/>
        </w:tabs>
        <w:autoSpaceDE w:val="0"/>
        <w:autoSpaceDN/>
        <w:ind w:firstLine="567"/>
        <w:jc w:val="both"/>
        <w:textAlignment w:val="auto"/>
        <w:rPr>
          <w:kern w:val="1"/>
          <w:lang w:eastAsia="hi-IN"/>
        </w:rPr>
      </w:pPr>
      <w:r w:rsidRPr="00D03047">
        <w:rPr>
          <w:rFonts w:eastAsia="Times New Roman CYR"/>
          <w:b/>
          <w:bCs/>
          <w:color w:val="000000"/>
          <w:kern w:val="1"/>
          <w:sz w:val="20"/>
          <w:szCs w:val="20"/>
          <w:lang w:eastAsia="hi-IN"/>
        </w:rPr>
        <w:t xml:space="preserve"> 8. Форма, сроки и порядок оплаты товара, работ, услуг:</w:t>
      </w:r>
      <w:r w:rsidRPr="00D03047">
        <w:rPr>
          <w:rFonts w:eastAsia="Times New Roman CYR"/>
          <w:b/>
          <w:bCs/>
          <w:kern w:val="1"/>
          <w:sz w:val="20"/>
          <w:szCs w:val="20"/>
          <w:lang w:eastAsia="hi-IN"/>
        </w:rPr>
        <w:t xml:space="preserve"> </w:t>
      </w:r>
      <w:r w:rsidRPr="00D03047">
        <w:rPr>
          <w:rFonts w:eastAsia="Times New Roman CYR"/>
          <w:kern w:val="1"/>
          <w:sz w:val="20"/>
          <w:szCs w:val="20"/>
          <w:lang w:eastAsia="hi-IN"/>
        </w:rPr>
        <w:t xml:space="preserve">Оплата поставленного Товара осуществляется путем перечисления денежных средств на расчетный счет Поставщика не позднее </w:t>
      </w:r>
      <w:r w:rsidRPr="00D03047">
        <w:rPr>
          <w:rFonts w:eastAsia="Times New Roman CYR"/>
          <w:b/>
          <w:kern w:val="1"/>
          <w:sz w:val="20"/>
          <w:szCs w:val="20"/>
          <w:lang w:eastAsia="hi-IN"/>
        </w:rPr>
        <w:t>7 (семи)</w:t>
      </w:r>
      <w:r w:rsidRPr="00D03047">
        <w:rPr>
          <w:rFonts w:eastAsia="Times New Roman CYR"/>
          <w:kern w:val="1"/>
          <w:sz w:val="20"/>
          <w:szCs w:val="20"/>
          <w:lang w:eastAsia="hi-IN"/>
        </w:rPr>
        <w:t xml:space="preserve"> рабочих дней со дня подписания Заказчиком документа о приемке, сформированного </w:t>
      </w:r>
      <w:r w:rsidR="007B3EE8">
        <w:rPr>
          <w:rFonts w:eastAsia="Times New Roman CYR"/>
          <w:kern w:val="1"/>
          <w:sz w:val="20"/>
          <w:szCs w:val="20"/>
          <w:lang w:eastAsia="hi-IN"/>
        </w:rPr>
        <w:t>Поставщиком</w:t>
      </w:r>
      <w:r w:rsidRPr="00D03047">
        <w:rPr>
          <w:rFonts w:eastAsia="Times New Roman CYR"/>
          <w:kern w:val="1"/>
          <w:sz w:val="20"/>
          <w:szCs w:val="20"/>
          <w:lang w:eastAsia="hi-IN"/>
        </w:rPr>
        <w:t xml:space="preserve"> в единой информационной системе.</w:t>
      </w:r>
    </w:p>
    <w:p w:rsidR="00D03047" w:rsidRPr="00D03047" w:rsidRDefault="00D03047" w:rsidP="00D03047">
      <w:pPr>
        <w:tabs>
          <w:tab w:val="left" w:pos="6480"/>
          <w:tab w:val="left" w:pos="12960"/>
        </w:tabs>
        <w:autoSpaceDE w:val="0"/>
        <w:autoSpaceDN/>
        <w:ind w:firstLine="567"/>
        <w:jc w:val="both"/>
        <w:textAlignment w:val="auto"/>
        <w:rPr>
          <w:kern w:val="1"/>
          <w:lang w:eastAsia="hi-IN"/>
        </w:rPr>
      </w:pPr>
      <w:r w:rsidRPr="00D03047">
        <w:rPr>
          <w:rFonts w:eastAsia="Times New Roman CYR"/>
          <w:b/>
          <w:bCs/>
          <w:color w:val="000000"/>
          <w:kern w:val="1"/>
          <w:sz w:val="20"/>
          <w:szCs w:val="20"/>
          <w:lang w:eastAsia="hi-IN"/>
        </w:rPr>
        <w:t>9. Размер обеспечения гарантийных обязательств государственного контракта:</w:t>
      </w:r>
      <w:r w:rsidRPr="00D03047">
        <w:rPr>
          <w:rFonts w:eastAsia="Times New Roman CYR"/>
          <w:color w:val="000000"/>
          <w:kern w:val="1"/>
          <w:sz w:val="20"/>
          <w:szCs w:val="20"/>
          <w:lang w:eastAsia="hi-IN"/>
        </w:rPr>
        <w:t xml:space="preserve"> 5% от начальной (максимальной) цены контракта.</w:t>
      </w:r>
    </w:p>
    <w:p w:rsidR="00AD1A7B" w:rsidRDefault="00D03047" w:rsidP="00AD1A7B">
      <w:pPr>
        <w:tabs>
          <w:tab w:val="left" w:pos="6480"/>
          <w:tab w:val="left" w:pos="12960"/>
        </w:tabs>
        <w:autoSpaceDE w:val="0"/>
        <w:ind w:firstLine="567"/>
        <w:jc w:val="both"/>
      </w:pPr>
      <w:r w:rsidRPr="00D03047">
        <w:rPr>
          <w:rFonts w:eastAsia="Times New Roman CYR"/>
          <w:b/>
          <w:bCs/>
          <w:color w:val="000000"/>
          <w:kern w:val="1"/>
          <w:sz w:val="20"/>
          <w:szCs w:val="20"/>
          <w:lang w:eastAsia="hi-IN"/>
        </w:rPr>
        <w:t>10. Размер обеспечения исполнения государственного контракта:</w:t>
      </w:r>
      <w:r w:rsidRPr="00D03047">
        <w:rPr>
          <w:rFonts w:eastAsia="Times New Roman CYR"/>
          <w:color w:val="000000"/>
          <w:kern w:val="1"/>
          <w:sz w:val="20"/>
          <w:szCs w:val="20"/>
          <w:lang w:eastAsia="hi-IN"/>
        </w:rPr>
        <w:t xml:space="preserve"> 30% </w:t>
      </w:r>
      <w:r w:rsidR="00AD1A7B">
        <w:rPr>
          <w:rFonts w:eastAsia="Times New Roman CYR"/>
          <w:color w:val="000000"/>
          <w:sz w:val="20"/>
          <w:szCs w:val="20"/>
        </w:rPr>
        <w:t xml:space="preserve">от начальной (максимальной) цены контракта. Указанная сумма является </w:t>
      </w:r>
      <w:r w:rsidR="00AD1A7B">
        <w:rPr>
          <w:rFonts w:eastAsia="Times New Roman CYR"/>
          <w:b/>
          <w:color w:val="000000"/>
          <w:sz w:val="20"/>
          <w:szCs w:val="20"/>
        </w:rPr>
        <w:t>предварительной</w:t>
      </w:r>
      <w:r w:rsidR="00AD1A7B">
        <w:rPr>
          <w:rFonts w:eastAsia="Times New Roman CYR"/>
          <w:color w:val="000000"/>
          <w:sz w:val="20"/>
          <w:szCs w:val="20"/>
        </w:rPr>
        <w:t xml:space="preserve"> и рассчитана от начальной (</w:t>
      </w:r>
      <w:r w:rsidR="00AD1A7B">
        <w:rPr>
          <w:rFonts w:eastAsia="Times New Roman CYR"/>
          <w:b/>
          <w:color w:val="000000"/>
          <w:sz w:val="20"/>
          <w:szCs w:val="20"/>
        </w:rPr>
        <w:t>максимальной</w:t>
      </w:r>
      <w:r w:rsidR="00AD1A7B">
        <w:rPr>
          <w:rFonts w:eastAsia="Times New Roman CYR"/>
          <w:color w:val="000000"/>
          <w:sz w:val="20"/>
          <w:szCs w:val="20"/>
        </w:rPr>
        <w:t>) цены контракта. Итоговая сумма обеспечения исполнения контракта устанавливается от цены, по которой заключается контракт (ч. 6 ст. 96 Закона №44-ФЗ)</w:t>
      </w:r>
    </w:p>
    <w:p w:rsidR="00D03047" w:rsidRPr="00D03047" w:rsidRDefault="00D03047" w:rsidP="00D03047">
      <w:pPr>
        <w:tabs>
          <w:tab w:val="left" w:pos="6480"/>
          <w:tab w:val="left" w:pos="12960"/>
        </w:tabs>
        <w:autoSpaceDE w:val="0"/>
        <w:autoSpaceDN/>
        <w:ind w:firstLine="567"/>
        <w:jc w:val="both"/>
        <w:textAlignment w:val="auto"/>
        <w:rPr>
          <w:kern w:val="1"/>
          <w:lang w:eastAsia="hi-IN"/>
        </w:rPr>
      </w:pPr>
      <w:r w:rsidRPr="00D03047">
        <w:rPr>
          <w:rFonts w:eastAsia="Times New Roman CYR"/>
          <w:b/>
          <w:color w:val="000000"/>
          <w:kern w:val="1"/>
          <w:sz w:val="20"/>
          <w:szCs w:val="20"/>
          <w:lang w:eastAsia="hi-IN"/>
        </w:rPr>
        <w:t xml:space="preserve">11. </w:t>
      </w:r>
      <w:r w:rsidRPr="00D03047">
        <w:rPr>
          <w:b/>
          <w:bCs/>
          <w:color w:val="000000"/>
          <w:kern w:val="1"/>
          <w:sz w:val="20"/>
          <w:szCs w:val="20"/>
          <w:lang w:eastAsia="hi-IN"/>
        </w:rPr>
        <w:t xml:space="preserve">Размер обеспечения заявки: </w:t>
      </w:r>
      <w:r w:rsidRPr="00D03047">
        <w:rPr>
          <w:color w:val="000000"/>
          <w:kern w:val="1"/>
          <w:sz w:val="20"/>
          <w:szCs w:val="20"/>
          <w:lang w:eastAsia="hi-IN"/>
        </w:rPr>
        <w:t>1% от начальной (максимальной) цены контракта.</w:t>
      </w:r>
    </w:p>
    <w:p w:rsidR="00D03047" w:rsidRPr="00D03047" w:rsidRDefault="00D03047" w:rsidP="00D03047">
      <w:pPr>
        <w:autoSpaceDE w:val="0"/>
        <w:autoSpaceDN/>
        <w:textAlignment w:val="auto"/>
        <w:rPr>
          <w:rFonts w:eastAsia="Times New Roman CYR"/>
          <w:color w:val="000000"/>
          <w:kern w:val="1"/>
          <w:sz w:val="20"/>
          <w:szCs w:val="20"/>
          <w:lang w:eastAsia="hi-IN"/>
        </w:rPr>
      </w:pPr>
    </w:p>
    <w:p w:rsidR="00D03047" w:rsidRPr="00D03047" w:rsidRDefault="00D03047" w:rsidP="00D03047">
      <w:pPr>
        <w:autoSpaceDE w:val="0"/>
        <w:autoSpaceDN/>
        <w:ind w:firstLine="15"/>
        <w:jc w:val="center"/>
        <w:textAlignment w:val="auto"/>
        <w:rPr>
          <w:rFonts w:eastAsia="Times New Roman CYR"/>
          <w:color w:val="000000"/>
          <w:kern w:val="1"/>
          <w:sz w:val="20"/>
          <w:szCs w:val="20"/>
          <w:lang w:eastAsia="hi-IN"/>
        </w:rPr>
      </w:pPr>
    </w:p>
    <w:p w:rsidR="00ED7CBE" w:rsidRPr="006F4019" w:rsidRDefault="00ED7CBE" w:rsidP="008348AF">
      <w:pPr>
        <w:autoSpaceDE w:val="0"/>
        <w:rPr>
          <w:rFonts w:eastAsia="Times New Roman CYR"/>
          <w:color w:val="000000"/>
          <w:sz w:val="20"/>
          <w:szCs w:val="20"/>
        </w:rPr>
      </w:pPr>
    </w:p>
    <w:p w:rsidR="00ED7CBE" w:rsidRPr="006F4019" w:rsidRDefault="00ED7CBE" w:rsidP="00ED7CBE">
      <w:pPr>
        <w:autoSpaceDE w:val="0"/>
        <w:ind w:firstLine="15"/>
        <w:jc w:val="center"/>
        <w:rPr>
          <w:rFonts w:eastAsia="Times New Roman CYR"/>
          <w:color w:val="000000"/>
          <w:sz w:val="20"/>
          <w:szCs w:val="20"/>
        </w:rPr>
      </w:pPr>
    </w:p>
    <w:p w:rsidR="00ED7CBE" w:rsidRPr="006F4019" w:rsidRDefault="00ED7CBE" w:rsidP="00ED7CBE">
      <w:pPr>
        <w:autoSpaceDE w:val="0"/>
        <w:ind w:firstLine="15"/>
        <w:jc w:val="center"/>
        <w:rPr>
          <w:rFonts w:eastAsia="Times New Roman CYR"/>
          <w:color w:val="000000"/>
          <w:sz w:val="20"/>
          <w:szCs w:val="20"/>
        </w:rPr>
      </w:pPr>
    </w:p>
    <w:p w:rsidR="00ED7CBE" w:rsidRPr="002A2876" w:rsidRDefault="008F7E33" w:rsidP="002B3802">
      <w:pPr>
        <w:autoSpaceDE w:val="0"/>
        <w:ind w:firstLine="15"/>
        <w:jc w:val="center"/>
        <w:rPr>
          <w:rFonts w:eastAsia="Times New Roman CYR"/>
          <w:color w:val="000000"/>
          <w:sz w:val="20"/>
          <w:szCs w:val="20"/>
        </w:rPr>
      </w:pPr>
      <w:r>
        <w:rPr>
          <w:rFonts w:eastAsia="Times New Roman CYR"/>
          <w:color w:val="000000"/>
          <w:sz w:val="20"/>
          <w:szCs w:val="20"/>
        </w:rPr>
        <w:t>Н</w:t>
      </w:r>
      <w:r w:rsidR="00ED7CBE">
        <w:rPr>
          <w:rFonts w:eastAsia="Times New Roman CYR"/>
          <w:color w:val="000000"/>
          <w:sz w:val="20"/>
          <w:szCs w:val="20"/>
        </w:rPr>
        <w:t>ачальник</w:t>
      </w:r>
      <w:r w:rsidR="002B3802">
        <w:rPr>
          <w:rFonts w:eastAsia="Times New Roman CYR"/>
          <w:color w:val="000000"/>
          <w:sz w:val="20"/>
          <w:szCs w:val="20"/>
        </w:rPr>
        <w:t xml:space="preserve"> ОСП                            </w:t>
      </w:r>
      <w:r w:rsidR="00AD1A7B">
        <w:rPr>
          <w:rFonts w:eastAsia="Times New Roman CYR"/>
          <w:color w:val="000000"/>
          <w:sz w:val="20"/>
          <w:szCs w:val="20"/>
        </w:rPr>
        <w:t xml:space="preserve">                                     </w:t>
      </w:r>
      <w:r w:rsidR="00ED7CBE" w:rsidRPr="006F4019">
        <w:rPr>
          <w:rFonts w:eastAsia="Times New Roman CYR"/>
          <w:color w:val="000000"/>
          <w:sz w:val="20"/>
          <w:szCs w:val="20"/>
        </w:rPr>
        <w:t xml:space="preserve">              </w:t>
      </w:r>
      <w:r w:rsidR="002B3802">
        <w:rPr>
          <w:rFonts w:eastAsia="Times New Roman CYR"/>
          <w:color w:val="000000"/>
          <w:sz w:val="20"/>
          <w:szCs w:val="20"/>
        </w:rPr>
        <w:t xml:space="preserve">       </w:t>
      </w:r>
      <w:r>
        <w:rPr>
          <w:rFonts w:eastAsia="Times New Roman CYR"/>
          <w:color w:val="000000"/>
          <w:sz w:val="20"/>
          <w:szCs w:val="20"/>
        </w:rPr>
        <w:t>Н.С. Протопопова</w:t>
      </w:r>
    </w:p>
    <w:p w:rsidR="00ED7CBE" w:rsidRPr="006F4019" w:rsidRDefault="00ED7CBE" w:rsidP="00ED7CBE">
      <w:pPr>
        <w:pStyle w:val="a7"/>
        <w:tabs>
          <w:tab w:val="left" w:pos="0"/>
          <w:tab w:val="left" w:pos="45"/>
        </w:tabs>
        <w:autoSpaceDE w:val="0"/>
        <w:spacing w:after="0"/>
        <w:ind w:firstLine="567"/>
        <w:jc w:val="both"/>
        <w:rPr>
          <w:rFonts w:eastAsia="Times New Roman CYR"/>
          <w:color w:val="000000"/>
        </w:rPr>
      </w:pPr>
    </w:p>
    <w:p w:rsidR="00ED7CBE" w:rsidRDefault="00ED7CBE" w:rsidP="00ED7CBE">
      <w:pPr>
        <w:pStyle w:val="Standard"/>
        <w:autoSpaceDE w:val="0"/>
        <w:ind w:firstLine="540"/>
        <w:jc w:val="both"/>
      </w:pPr>
    </w:p>
    <w:p w:rsidR="00ED7CBE" w:rsidRDefault="00ED7CBE" w:rsidP="00ED7CBE">
      <w:pPr>
        <w:tabs>
          <w:tab w:val="left" w:pos="6000"/>
        </w:tabs>
        <w:autoSpaceDE w:val="0"/>
        <w:ind w:firstLine="567"/>
        <w:jc w:val="both"/>
      </w:pPr>
    </w:p>
    <w:p w:rsidR="00BC44A1" w:rsidRDefault="00BC44A1">
      <w:pPr>
        <w:pStyle w:val="Standard"/>
        <w:autoSpaceDE w:val="0"/>
        <w:ind w:firstLine="15"/>
        <w:jc w:val="center"/>
      </w:pPr>
    </w:p>
    <w:sectPr w:rsidR="00BC44A1" w:rsidSect="003616BB">
      <w:pgSz w:w="11906" w:h="16838"/>
      <w:pgMar w:top="709" w:right="1134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9E" w:rsidRDefault="00F9119E" w:rsidP="00BC44A1">
      <w:r>
        <w:separator/>
      </w:r>
    </w:p>
  </w:endnote>
  <w:endnote w:type="continuationSeparator" w:id="1">
    <w:p w:rsidR="00F9119E" w:rsidRDefault="00F9119E" w:rsidP="00BC4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9E" w:rsidRDefault="00F9119E" w:rsidP="00BC44A1">
      <w:r w:rsidRPr="00BC44A1">
        <w:rPr>
          <w:color w:val="000000"/>
        </w:rPr>
        <w:separator/>
      </w:r>
    </w:p>
  </w:footnote>
  <w:footnote w:type="continuationSeparator" w:id="1">
    <w:p w:rsidR="00F9119E" w:rsidRDefault="00F9119E" w:rsidP="00BC4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3F2F8B"/>
    <w:multiLevelType w:val="multilevel"/>
    <w:tmpl w:val="505C487E"/>
    <w:styleLink w:val="WW8Num2"/>
    <w:lvl w:ilvl="0">
      <w:start w:val="1"/>
      <w:numFmt w:val="decimal"/>
      <w:lvlText w:val="%1."/>
      <w:lvlJc w:val="left"/>
      <w:rPr>
        <w:b/>
        <w:i/>
      </w:rPr>
    </w:lvl>
    <w:lvl w:ilvl="1">
      <w:start w:val="2"/>
      <w:numFmt w:val="decimal"/>
      <w:lvlText w:val="%2."/>
      <w:lvlJc w:val="left"/>
      <w:rPr>
        <w:rFonts w:eastAsia="Times New Roman CYR" w:cs="Times New Roman CYR"/>
        <w:b/>
        <w:bCs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7C4DAE"/>
    <w:multiLevelType w:val="multilevel"/>
    <w:tmpl w:val="BFEC762C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>
    <w:nsid w:val="2D124A9C"/>
    <w:multiLevelType w:val="multilevel"/>
    <w:tmpl w:val="17324A6A"/>
    <w:styleLink w:val="WW8Num3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6E50A89"/>
    <w:multiLevelType w:val="hybridMultilevel"/>
    <w:tmpl w:val="2D0EE8F6"/>
    <w:lvl w:ilvl="0" w:tplc="2CF052A6">
      <w:start w:val="5"/>
      <w:numFmt w:val="decimal"/>
      <w:lvlText w:val="%1."/>
      <w:lvlJc w:val="left"/>
      <w:pPr>
        <w:ind w:left="630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7FC5019"/>
    <w:multiLevelType w:val="multilevel"/>
    <w:tmpl w:val="D3920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69C87889"/>
    <w:multiLevelType w:val="multilevel"/>
    <w:tmpl w:val="BAACE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4A1"/>
    <w:rsid w:val="0000347D"/>
    <w:rsid w:val="00004DC5"/>
    <w:rsid w:val="00030893"/>
    <w:rsid w:val="0003796B"/>
    <w:rsid w:val="00044A95"/>
    <w:rsid w:val="00047D8E"/>
    <w:rsid w:val="00074A12"/>
    <w:rsid w:val="00084A73"/>
    <w:rsid w:val="000E223D"/>
    <w:rsid w:val="00101005"/>
    <w:rsid w:val="00111C9C"/>
    <w:rsid w:val="001276C5"/>
    <w:rsid w:val="00134CCD"/>
    <w:rsid w:val="001455F7"/>
    <w:rsid w:val="001524E1"/>
    <w:rsid w:val="0017007E"/>
    <w:rsid w:val="00190FCE"/>
    <w:rsid w:val="001C4E8A"/>
    <w:rsid w:val="001D5784"/>
    <w:rsid w:val="001E077E"/>
    <w:rsid w:val="001F4F88"/>
    <w:rsid w:val="00214583"/>
    <w:rsid w:val="00225E98"/>
    <w:rsid w:val="00243628"/>
    <w:rsid w:val="00244E6F"/>
    <w:rsid w:val="00247F82"/>
    <w:rsid w:val="00267EC5"/>
    <w:rsid w:val="00282B1D"/>
    <w:rsid w:val="002A0EF5"/>
    <w:rsid w:val="002B3802"/>
    <w:rsid w:val="002E0612"/>
    <w:rsid w:val="00342098"/>
    <w:rsid w:val="003616BB"/>
    <w:rsid w:val="003C560C"/>
    <w:rsid w:val="00413DFE"/>
    <w:rsid w:val="0044508D"/>
    <w:rsid w:val="00465DFA"/>
    <w:rsid w:val="00466C54"/>
    <w:rsid w:val="00471482"/>
    <w:rsid w:val="004839F5"/>
    <w:rsid w:val="00512127"/>
    <w:rsid w:val="00544505"/>
    <w:rsid w:val="005558EC"/>
    <w:rsid w:val="00571237"/>
    <w:rsid w:val="00572699"/>
    <w:rsid w:val="005740EC"/>
    <w:rsid w:val="00586338"/>
    <w:rsid w:val="005A0842"/>
    <w:rsid w:val="005E6C2E"/>
    <w:rsid w:val="005F0D49"/>
    <w:rsid w:val="006375B8"/>
    <w:rsid w:val="00695C25"/>
    <w:rsid w:val="006D7320"/>
    <w:rsid w:val="006E2BEE"/>
    <w:rsid w:val="00740F85"/>
    <w:rsid w:val="00791878"/>
    <w:rsid w:val="00797372"/>
    <w:rsid w:val="007B3EE8"/>
    <w:rsid w:val="007B7602"/>
    <w:rsid w:val="007C5CAD"/>
    <w:rsid w:val="007E23AC"/>
    <w:rsid w:val="00805176"/>
    <w:rsid w:val="008348AF"/>
    <w:rsid w:val="008353FA"/>
    <w:rsid w:val="008509FC"/>
    <w:rsid w:val="008709E5"/>
    <w:rsid w:val="00876156"/>
    <w:rsid w:val="00893EB8"/>
    <w:rsid w:val="008A0741"/>
    <w:rsid w:val="008A0D58"/>
    <w:rsid w:val="008A4D2A"/>
    <w:rsid w:val="008E073A"/>
    <w:rsid w:val="008F7DCF"/>
    <w:rsid w:val="008F7E33"/>
    <w:rsid w:val="00925DBC"/>
    <w:rsid w:val="009468BB"/>
    <w:rsid w:val="009541F4"/>
    <w:rsid w:val="009B603F"/>
    <w:rsid w:val="009C41E0"/>
    <w:rsid w:val="009D4DE1"/>
    <w:rsid w:val="009E3446"/>
    <w:rsid w:val="009F6B89"/>
    <w:rsid w:val="00A109D8"/>
    <w:rsid w:val="00A4208F"/>
    <w:rsid w:val="00A475A5"/>
    <w:rsid w:val="00A54724"/>
    <w:rsid w:val="00A6113B"/>
    <w:rsid w:val="00A80514"/>
    <w:rsid w:val="00A933AF"/>
    <w:rsid w:val="00A97E5B"/>
    <w:rsid w:val="00AA2F02"/>
    <w:rsid w:val="00AD1A7B"/>
    <w:rsid w:val="00B30DBF"/>
    <w:rsid w:val="00B3490F"/>
    <w:rsid w:val="00B55919"/>
    <w:rsid w:val="00BC1030"/>
    <w:rsid w:val="00BC44A1"/>
    <w:rsid w:val="00C22554"/>
    <w:rsid w:val="00C30ED5"/>
    <w:rsid w:val="00C62CE4"/>
    <w:rsid w:val="00C65D65"/>
    <w:rsid w:val="00C8414E"/>
    <w:rsid w:val="00CA4581"/>
    <w:rsid w:val="00CB3CAD"/>
    <w:rsid w:val="00CB7106"/>
    <w:rsid w:val="00CC24A4"/>
    <w:rsid w:val="00CE034C"/>
    <w:rsid w:val="00D03047"/>
    <w:rsid w:val="00D24955"/>
    <w:rsid w:val="00D569B3"/>
    <w:rsid w:val="00D6555B"/>
    <w:rsid w:val="00D93E47"/>
    <w:rsid w:val="00D94C96"/>
    <w:rsid w:val="00DE703B"/>
    <w:rsid w:val="00DF0E4B"/>
    <w:rsid w:val="00E13831"/>
    <w:rsid w:val="00E139C0"/>
    <w:rsid w:val="00E3137A"/>
    <w:rsid w:val="00E31731"/>
    <w:rsid w:val="00E467AC"/>
    <w:rsid w:val="00E712FB"/>
    <w:rsid w:val="00E87572"/>
    <w:rsid w:val="00EA76BA"/>
    <w:rsid w:val="00EB1BD4"/>
    <w:rsid w:val="00EC28E7"/>
    <w:rsid w:val="00ED7CBE"/>
    <w:rsid w:val="00F103B9"/>
    <w:rsid w:val="00F2729D"/>
    <w:rsid w:val="00F400A6"/>
    <w:rsid w:val="00F6123A"/>
    <w:rsid w:val="00F9119E"/>
    <w:rsid w:val="00FA7C4E"/>
    <w:rsid w:val="00FD2526"/>
    <w:rsid w:val="00FE223E"/>
    <w:rsid w:val="00FF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A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qFormat/>
    <w:rsid w:val="00BC44A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4A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qFormat/>
    <w:rsid w:val="00BC44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44A1"/>
    <w:pPr>
      <w:spacing w:after="120"/>
    </w:pPr>
  </w:style>
  <w:style w:type="paragraph" w:styleId="a4">
    <w:name w:val="Subtitle"/>
    <w:basedOn w:val="a3"/>
    <w:next w:val="Textbody"/>
    <w:qFormat/>
    <w:rsid w:val="00BC44A1"/>
    <w:pPr>
      <w:jc w:val="center"/>
    </w:pPr>
    <w:rPr>
      <w:i/>
      <w:iCs/>
    </w:rPr>
  </w:style>
  <w:style w:type="paragraph" w:styleId="a5">
    <w:name w:val="List"/>
    <w:basedOn w:val="Textbody"/>
    <w:rsid w:val="00BC44A1"/>
  </w:style>
  <w:style w:type="paragraph" w:styleId="a6">
    <w:name w:val="caption"/>
    <w:basedOn w:val="Standard"/>
    <w:qFormat/>
    <w:rsid w:val="00BC44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44A1"/>
    <w:pPr>
      <w:suppressLineNumbers/>
    </w:pPr>
  </w:style>
  <w:style w:type="paragraph" w:customStyle="1" w:styleId="Standarduser">
    <w:name w:val="Standard (user)"/>
    <w:rsid w:val="00BC44A1"/>
    <w:pPr>
      <w:suppressAutoHyphens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C44A1"/>
    <w:pPr>
      <w:suppressLineNumbers/>
    </w:pPr>
  </w:style>
  <w:style w:type="paragraph" w:customStyle="1" w:styleId="Textbodyuser">
    <w:name w:val="Text body (user)"/>
    <w:basedOn w:val="Standarduser"/>
    <w:rsid w:val="00BC44A1"/>
    <w:pPr>
      <w:spacing w:after="120"/>
    </w:pPr>
    <w:rPr>
      <w:rFonts w:eastAsia="Times New Roman"/>
    </w:rPr>
  </w:style>
  <w:style w:type="character" w:customStyle="1" w:styleId="WW8Num2z0">
    <w:name w:val="WW8Num2z0"/>
    <w:rsid w:val="00BC44A1"/>
    <w:rPr>
      <w:b/>
      <w:i/>
    </w:rPr>
  </w:style>
  <w:style w:type="character" w:customStyle="1" w:styleId="WW8Num2z1">
    <w:name w:val="WW8Num2z1"/>
    <w:rsid w:val="00BC44A1"/>
    <w:rPr>
      <w:rFonts w:eastAsia="Times New Roman CYR" w:cs="Times New Roman CYR"/>
      <w:b/>
      <w:bCs/>
      <w:sz w:val="20"/>
      <w:szCs w:val="20"/>
    </w:rPr>
  </w:style>
  <w:style w:type="character" w:customStyle="1" w:styleId="WW8Num2z2">
    <w:name w:val="WW8Num2z2"/>
    <w:rsid w:val="00BC44A1"/>
  </w:style>
  <w:style w:type="character" w:customStyle="1" w:styleId="WW8Num2z3">
    <w:name w:val="WW8Num2z3"/>
    <w:rsid w:val="00BC44A1"/>
  </w:style>
  <w:style w:type="character" w:customStyle="1" w:styleId="WW8Num2z4">
    <w:name w:val="WW8Num2z4"/>
    <w:rsid w:val="00BC44A1"/>
  </w:style>
  <w:style w:type="character" w:customStyle="1" w:styleId="WW8Num2z5">
    <w:name w:val="WW8Num2z5"/>
    <w:rsid w:val="00BC44A1"/>
  </w:style>
  <w:style w:type="character" w:customStyle="1" w:styleId="WW8Num2z6">
    <w:name w:val="WW8Num2z6"/>
    <w:rsid w:val="00BC44A1"/>
  </w:style>
  <w:style w:type="character" w:customStyle="1" w:styleId="WW8Num2z7">
    <w:name w:val="WW8Num2z7"/>
    <w:rsid w:val="00BC44A1"/>
  </w:style>
  <w:style w:type="character" w:customStyle="1" w:styleId="WW8Num2z8">
    <w:name w:val="WW8Num2z8"/>
    <w:rsid w:val="00BC44A1"/>
  </w:style>
  <w:style w:type="character" w:customStyle="1" w:styleId="WW8Num3z0">
    <w:name w:val="WW8Num3z0"/>
    <w:rsid w:val="00BC44A1"/>
  </w:style>
  <w:style w:type="character" w:customStyle="1" w:styleId="WW8Num3z1">
    <w:name w:val="WW8Num3z1"/>
    <w:rsid w:val="00BC44A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BC44A1"/>
  </w:style>
  <w:style w:type="character" w:customStyle="1" w:styleId="WW8Num3z3">
    <w:name w:val="WW8Num3z3"/>
    <w:rsid w:val="00BC44A1"/>
  </w:style>
  <w:style w:type="character" w:customStyle="1" w:styleId="WW8Num3z4">
    <w:name w:val="WW8Num3z4"/>
    <w:rsid w:val="00BC44A1"/>
  </w:style>
  <w:style w:type="character" w:customStyle="1" w:styleId="WW8Num3z5">
    <w:name w:val="WW8Num3z5"/>
    <w:rsid w:val="00BC44A1"/>
  </w:style>
  <w:style w:type="character" w:customStyle="1" w:styleId="WW8Num3z6">
    <w:name w:val="WW8Num3z6"/>
    <w:rsid w:val="00BC44A1"/>
  </w:style>
  <w:style w:type="character" w:customStyle="1" w:styleId="WW8Num3z7">
    <w:name w:val="WW8Num3z7"/>
    <w:rsid w:val="00BC44A1"/>
  </w:style>
  <w:style w:type="character" w:customStyle="1" w:styleId="WW8Num3z8">
    <w:name w:val="WW8Num3z8"/>
    <w:rsid w:val="00BC44A1"/>
  </w:style>
  <w:style w:type="character" w:customStyle="1" w:styleId="WW8Num5z0">
    <w:name w:val="WW8Num5z0"/>
    <w:rsid w:val="00BC44A1"/>
    <w:rPr>
      <w:rFonts w:ascii="Symbol" w:hAnsi="Symbol" w:cs="Symbol"/>
      <w:sz w:val="20"/>
    </w:rPr>
  </w:style>
  <w:style w:type="character" w:customStyle="1" w:styleId="WW8Num5z1">
    <w:name w:val="WW8Num5z1"/>
    <w:rsid w:val="00BC44A1"/>
    <w:rPr>
      <w:rFonts w:ascii="Courier New" w:hAnsi="Courier New" w:cs="Courier New"/>
      <w:sz w:val="20"/>
    </w:rPr>
  </w:style>
  <w:style w:type="character" w:customStyle="1" w:styleId="WW8Num5z2">
    <w:name w:val="WW8Num5z2"/>
    <w:rsid w:val="00BC44A1"/>
    <w:rPr>
      <w:rFonts w:ascii="Wingdings" w:hAnsi="Wingdings" w:cs="Wingdings"/>
      <w:sz w:val="20"/>
    </w:rPr>
  </w:style>
  <w:style w:type="character" w:customStyle="1" w:styleId="Internetlink">
    <w:name w:val="Internet link"/>
    <w:rsid w:val="00BC44A1"/>
    <w:rPr>
      <w:color w:val="000080"/>
      <w:u w:val="single"/>
    </w:rPr>
  </w:style>
  <w:style w:type="paragraph" w:styleId="a7">
    <w:name w:val="Body Text"/>
    <w:basedOn w:val="a"/>
    <w:link w:val="a8"/>
    <w:rsid w:val="002A0EF5"/>
    <w:pPr>
      <w:autoSpaceDN/>
      <w:spacing w:after="120"/>
      <w:textAlignment w:val="auto"/>
    </w:pPr>
    <w:rPr>
      <w:rFonts w:cs="Times New Roman"/>
      <w:kern w:val="1"/>
      <w:sz w:val="20"/>
      <w:szCs w:val="20"/>
      <w:lang w:eastAsia="ar-SA" w:bidi="ar-SA"/>
    </w:rPr>
  </w:style>
  <w:style w:type="character" w:customStyle="1" w:styleId="a8">
    <w:name w:val="Основной текст Знак"/>
    <w:link w:val="a7"/>
    <w:rsid w:val="002A0EF5"/>
    <w:rPr>
      <w:rFonts w:cs="Times New Roman"/>
      <w:kern w:val="1"/>
      <w:lang w:eastAsia="ar-SA" w:bidi="ar-SA"/>
    </w:rPr>
  </w:style>
  <w:style w:type="paragraph" w:styleId="a9">
    <w:name w:val="Balloon Text"/>
    <w:basedOn w:val="a"/>
    <w:semiHidden/>
    <w:rsid w:val="00F6123A"/>
    <w:rPr>
      <w:rFonts w:ascii="Tahoma" w:hAnsi="Tahoma" w:cs="Tahoma"/>
      <w:sz w:val="16"/>
      <w:szCs w:val="16"/>
    </w:rPr>
  </w:style>
  <w:style w:type="numbering" w:customStyle="1" w:styleId="WW8Num2">
    <w:name w:val="WW8Num2"/>
    <w:basedOn w:val="a2"/>
    <w:rsid w:val="00BC44A1"/>
    <w:pPr>
      <w:numPr>
        <w:numId w:val="1"/>
      </w:numPr>
    </w:pPr>
  </w:style>
  <w:style w:type="numbering" w:customStyle="1" w:styleId="WW8Num3">
    <w:name w:val="WW8Num3"/>
    <w:basedOn w:val="a2"/>
    <w:rsid w:val="00BC44A1"/>
    <w:pPr>
      <w:numPr>
        <w:numId w:val="2"/>
      </w:numPr>
    </w:pPr>
  </w:style>
  <w:style w:type="numbering" w:customStyle="1" w:styleId="WW8Num5">
    <w:name w:val="WW8Num5"/>
    <w:basedOn w:val="a2"/>
    <w:rsid w:val="00BC44A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RePack by SPecialiST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Лена</dc:creator>
  <cp:lastModifiedBy>0160000713</cp:lastModifiedBy>
  <cp:revision>4</cp:revision>
  <cp:lastPrinted>2022-10-06T04:13:00Z</cp:lastPrinted>
  <dcterms:created xsi:type="dcterms:W3CDTF">2024-09-27T01:37:00Z</dcterms:created>
  <dcterms:modified xsi:type="dcterms:W3CDTF">2024-09-30T01:34:00Z</dcterms:modified>
</cp:coreProperties>
</file>