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F5" w:rsidRPr="00525F00" w:rsidRDefault="004977AF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right"/>
        <w:rPr>
          <w:rFonts w:eastAsia="Lucida Sans Unicode"/>
          <w:bCs/>
          <w:kern w:val="1"/>
          <w:sz w:val="20"/>
          <w:szCs w:val="20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                                                          </w:t>
      </w:r>
      <w:r w:rsidRPr="00525F00">
        <w:rPr>
          <w:rFonts w:eastAsia="Lucida Sans Unicode"/>
          <w:bCs/>
          <w:kern w:val="1"/>
          <w:sz w:val="20"/>
          <w:szCs w:val="20"/>
          <w:lang w:eastAsia="ar-SA"/>
        </w:rPr>
        <w:t>Приложение №3</w:t>
      </w:r>
    </w:p>
    <w:p w:rsidR="00AF2F21" w:rsidRDefault="00AF2F21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</w:p>
    <w:p w:rsidR="004977AF" w:rsidRDefault="004977AF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r w:rsidRPr="000D0507">
        <w:rPr>
          <w:rFonts w:eastAsia="Lucida Sans Unicode"/>
          <w:b/>
          <w:bCs/>
          <w:kern w:val="1"/>
          <w:lang w:eastAsia="ar-SA"/>
        </w:rPr>
        <w:t>ТЕХНИЧЕСКОЕ ЗАДАНИЕ</w:t>
      </w:r>
    </w:p>
    <w:p w:rsidR="00031287" w:rsidRPr="000D0507" w:rsidRDefault="00031287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1"/>
        <w:gridCol w:w="2152"/>
        <w:gridCol w:w="5323"/>
        <w:gridCol w:w="1684"/>
      </w:tblGrid>
      <w:tr w:rsidR="00AA1876" w:rsidRPr="00A05CEE" w:rsidTr="007E60E1">
        <w:tc>
          <w:tcPr>
            <w:tcW w:w="411" w:type="dxa"/>
          </w:tcPr>
          <w:p w:rsidR="00AA1876" w:rsidRPr="00A05CEE" w:rsidRDefault="00AA1876" w:rsidP="00423B24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A1876" w:rsidRPr="00B20BF6" w:rsidRDefault="00AA1876" w:rsidP="00423B24">
            <w:pPr>
              <w:rPr>
                <w:b/>
              </w:rPr>
            </w:pPr>
            <w:r w:rsidRPr="00B20BF6">
              <w:rPr>
                <w:b/>
              </w:rPr>
              <w:t>Наименование</w:t>
            </w:r>
          </w:p>
        </w:tc>
        <w:tc>
          <w:tcPr>
            <w:tcW w:w="5323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Технические характеристики</w:t>
            </w:r>
          </w:p>
        </w:tc>
        <w:tc>
          <w:tcPr>
            <w:tcW w:w="1684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Кол-во (шт</w:t>
            </w:r>
            <w:r w:rsidR="003351E5">
              <w:rPr>
                <w:b/>
              </w:rPr>
              <w:t>.</w:t>
            </w:r>
            <w:r w:rsidRPr="00B20BF6">
              <w:rPr>
                <w:b/>
              </w:rPr>
              <w:t>)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877BF8">
            <w:pPr>
              <w:rPr>
                <w:sz w:val="26"/>
                <w:szCs w:val="26"/>
              </w:rPr>
            </w:pPr>
            <w:r w:rsidRPr="00A05CEE">
              <w:rPr>
                <w:sz w:val="26"/>
                <w:szCs w:val="26"/>
              </w:rPr>
              <w:t>1</w:t>
            </w:r>
            <w:r w:rsidR="00EB7980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152" w:type="dxa"/>
          </w:tcPr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B20BF6" w:rsidRDefault="007E60E1" w:rsidP="00B20BF6">
            <w:pPr>
              <w:jc w:val="center"/>
            </w:pPr>
            <w:r w:rsidRPr="00B20BF6">
              <w:rPr>
                <w:b/>
              </w:rPr>
              <w:t>Протез голени модульный, в том числе при недоразвитии</w:t>
            </w:r>
          </w:p>
        </w:tc>
        <w:tc>
          <w:tcPr>
            <w:tcW w:w="5323" w:type="dxa"/>
          </w:tcPr>
          <w:p w:rsidR="007E60E1" w:rsidRPr="007D158D" w:rsidRDefault="007E60E1" w:rsidP="00B20EF6">
            <w:pPr>
              <w:rPr>
                <w:color w:val="000000"/>
              </w:rPr>
            </w:pPr>
            <w:r w:rsidRPr="007D158D">
              <w:rPr>
                <w:color w:val="000000"/>
              </w:rPr>
              <w:t xml:space="preserve">Протез голени модульный. Формообразующая часть косметической облицовки должна быть модульной мягкой полиуретановой или листовой поролон. Косметическое покрытие облицовки – чулки ортопедические перлоновые или силоновые. Приёмная гильза должна быть индивидуальная (изготовленная по индивидуальному слепку с культи инвалида).  Материал индивидуальной постоянной гильзы:  кожа, литьевой слоистый пластик на основе ортокриловых или акриловых смол или листовой термопластичный пластик. В качестве вкладного элемента могут применяться чехол полимерный гелевый или вкладыш из вспененных материалов. Крепление  с использованием замка для гелевого чехла или кожаных полуфабрикатов или с использованием наколенника или за счёт формы приёмной гильзы или вакуумное. Регулировочно-соединительные устройства соответствуют весу </w:t>
            </w:r>
            <w:r w:rsidR="00B20EF6">
              <w:rPr>
                <w:color w:val="000000"/>
              </w:rPr>
              <w:t>Получателя</w:t>
            </w:r>
            <w:r w:rsidRPr="007D158D">
              <w:rPr>
                <w:color w:val="000000"/>
              </w:rPr>
              <w:t xml:space="preserve">. 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плоскости, с двухступенчатой регулируемой пациентом высотой каблука или стопа подвижная во всех вертикальных плоскостях или стопа со средней степенью энергосбережения.  Тип протеза: постоянный. </w:t>
            </w:r>
          </w:p>
        </w:tc>
        <w:tc>
          <w:tcPr>
            <w:tcW w:w="1684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AD0416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2" w:type="dxa"/>
          </w:tcPr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Pr="00A05CEE" w:rsidRDefault="007E60E1" w:rsidP="007E60E1">
            <w:pPr>
              <w:jc w:val="center"/>
              <w:rPr>
                <w:b/>
                <w:sz w:val="26"/>
                <w:szCs w:val="26"/>
              </w:rPr>
            </w:pPr>
            <w:r w:rsidRPr="007D158D">
              <w:rPr>
                <w:b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323" w:type="dxa"/>
          </w:tcPr>
          <w:p w:rsidR="007E60E1" w:rsidRPr="007D158D" w:rsidRDefault="007E60E1" w:rsidP="007E60E1">
            <w:pPr>
              <w:rPr>
                <w:color w:val="000000"/>
              </w:rPr>
            </w:pPr>
            <w:r w:rsidRPr="00A418DA">
              <w:rPr>
                <w:color w:val="000000"/>
              </w:rPr>
              <w:t>Протез бедра модульный. Формообразующая часть косметической облицовки</w:t>
            </w:r>
            <w:r>
              <w:rPr>
                <w:color w:val="000000"/>
              </w:rPr>
              <w:t xml:space="preserve"> должна быть </w:t>
            </w:r>
            <w:r w:rsidRPr="00A418DA">
              <w:rPr>
                <w:color w:val="000000"/>
              </w:rPr>
              <w:t xml:space="preserve"> модульн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мягк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полиуретанов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или листовой поролон.  Косметическое покрытие облицовки – чулки ортопедические перлоновые или силоновые. Приёмная гильза </w:t>
            </w:r>
            <w:r>
              <w:rPr>
                <w:color w:val="000000"/>
              </w:rPr>
              <w:t xml:space="preserve">должна быть </w:t>
            </w:r>
            <w:r w:rsidRPr="00A418DA">
              <w:rPr>
                <w:color w:val="000000"/>
              </w:rPr>
              <w:t xml:space="preserve">унифицированная или индивидуальная (изготовленная по индивидуальному слепку с культи инвалида).  Материал постоянной приемной гильзы: кожа или литьевой слоистый пластик на основе полиамидных смол или литьевой слоистый пластик на основе ортокриловых смол или литьевой слоистый пластик на основе акриловых смол или листовой термопластичный пластик. В качестве вкладного элемента могут применяться чехол полимерный гелевый или вкладыш из вспененных материалов. Крепление с использованием замка </w:t>
            </w:r>
            <w:r w:rsidRPr="00A418DA">
              <w:rPr>
                <w:color w:val="000000"/>
              </w:rPr>
              <w:lastRenderedPageBreak/>
              <w:t xml:space="preserve">гелевого чехла или бандажа или кожаных полуфабрикатов или вакуумное. Стопа подвижная во всех вертикальных плоскостях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со средней степенью энергосбережения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повышенной упругостью носочной части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голеностопным шарниром, подвижным в сагиттальной плоскости, со сменным пяточным амортизатором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>топа с голеностопным шарниром, подвижным в сагиттальной плоскости, с двухступенчатой регулируемой пациентом высотой каблука. Коленный шарнир</w:t>
            </w:r>
            <w:r>
              <w:rPr>
                <w:color w:val="000000"/>
              </w:rPr>
              <w:t xml:space="preserve"> должен быть</w:t>
            </w:r>
            <w:r w:rsidRPr="00A418DA">
              <w:rPr>
                <w:color w:val="000000"/>
              </w:rPr>
              <w:t xml:space="preserve">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беззамковы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замковы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механизмом торможения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с независимым механическим регулированием фаз сгибания-разгибания, с замком, отключающимся при переходе на передний отдел стопа, с упругим подгибанием. Тип протеза: постоянный.</w:t>
            </w:r>
          </w:p>
        </w:tc>
        <w:tc>
          <w:tcPr>
            <w:tcW w:w="1684" w:type="dxa"/>
          </w:tcPr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AD0416" w:rsidP="007E6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351E5" w:rsidRPr="00A05CEE" w:rsidTr="0096798A">
        <w:tc>
          <w:tcPr>
            <w:tcW w:w="411" w:type="dxa"/>
          </w:tcPr>
          <w:p w:rsidR="003351E5" w:rsidRDefault="003351E5" w:rsidP="0033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152" w:type="dxa"/>
          </w:tcPr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  <w:r w:rsidRPr="00864554">
              <w:rPr>
                <w:b/>
              </w:rPr>
              <w:t>Протез голени для купания</w:t>
            </w:r>
          </w:p>
        </w:tc>
        <w:tc>
          <w:tcPr>
            <w:tcW w:w="5323" w:type="dxa"/>
            <w:vAlign w:val="center"/>
          </w:tcPr>
          <w:p w:rsidR="003351E5" w:rsidRPr="00864554" w:rsidRDefault="003351E5" w:rsidP="003351E5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 w:rsidRPr="00864554">
              <w:rPr>
                <w:rFonts w:cs="Times New Roman"/>
                <w:lang w:val="ru-RU"/>
              </w:rPr>
              <w:t>Протез голени модульный для купания, должен быть с несущей приемной гильзой из слоистого пластика на основе акриловых смол. Стопа должна быть бесшарнирной влагозащищенной с рифлёным профилем подошвы. Без косметической облицовки. Комплектующие и РСУ – влагозащищенный материал на нагрузку до 150 кг. В качестве вкладного элемента могут применяться чехлы полимерные гелевые или вкладыш из педилена.  Крепление с помощью герметизирующего наколенника. Тип протеза: специальный. В комплект поставки протеза должны входить специальные инструменты для сборки протеза.</w:t>
            </w:r>
          </w:p>
        </w:tc>
        <w:tc>
          <w:tcPr>
            <w:tcW w:w="1684" w:type="dxa"/>
          </w:tcPr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Pr="003351E5" w:rsidRDefault="00016CC0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351E5" w:rsidRPr="00A05CEE" w:rsidTr="00145A69">
        <w:tc>
          <w:tcPr>
            <w:tcW w:w="411" w:type="dxa"/>
          </w:tcPr>
          <w:p w:rsidR="003351E5" w:rsidRDefault="003351E5" w:rsidP="0033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2" w:type="dxa"/>
            <w:vAlign w:val="center"/>
          </w:tcPr>
          <w:p w:rsidR="003351E5" w:rsidRPr="00864554" w:rsidRDefault="003351E5" w:rsidP="003351E5">
            <w:pPr>
              <w:pStyle w:val="a9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64554">
              <w:rPr>
                <w:rFonts w:ascii="Times New Roman" w:hAnsi="Times New Roman"/>
                <w:b/>
                <w:sz w:val="24"/>
                <w:szCs w:val="24"/>
              </w:rPr>
              <w:t>Протез бедра для купания</w:t>
            </w:r>
          </w:p>
          <w:p w:rsidR="003351E5" w:rsidRPr="00864554" w:rsidRDefault="003351E5" w:rsidP="003351E5">
            <w:pPr>
              <w:pStyle w:val="a8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5323" w:type="dxa"/>
            <w:vAlign w:val="center"/>
          </w:tcPr>
          <w:p w:rsidR="003351E5" w:rsidRPr="00864554" w:rsidRDefault="003351E5" w:rsidP="003351E5">
            <w:pPr>
              <w:widowControl w:val="0"/>
              <w:jc w:val="both"/>
              <w:rPr>
                <w:rFonts w:eastAsia="Lucida Sans Unicode"/>
              </w:rPr>
            </w:pPr>
            <w:r w:rsidRPr="00864554">
              <w:rPr>
                <w:color w:val="000000"/>
              </w:rPr>
              <w:t>Протез бедра модульный для купания, должен быть с несущей приемной гильзой из слоистого пластика на основе акриловых или ортокриловых смол. Коленный шарнир должен быть полицентрическим с ручным замком, влагозащищенным или замковым одноосным с фиксатором влагостойким. Стопа должна быть бесшарнирной влагозащищенной с рифлёным профилем подошвы. Комплектующие и РСУ –влагозащищенный материал на нагрузку до 150 кг. Без косметической облицовки. Крепление вакуумное. Тип протеза: специальный. В комплект поставки протеза должны входить специальные инструменты для сборки протеза.</w:t>
            </w:r>
          </w:p>
        </w:tc>
        <w:tc>
          <w:tcPr>
            <w:tcW w:w="1684" w:type="dxa"/>
          </w:tcPr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016CC0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lastRenderedPageBreak/>
        <w:t xml:space="preserve">Изделие должно иметь установленный производителем срок службы с момента передачи его Получателю не менее срока пользования изделием, утвержденного положениями приказа Министерства труда и социальной защиты Российской Федерации от 05 марта 2021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737E14" w:rsidRPr="006A14CD" w:rsidRDefault="00737E14" w:rsidP="00737E14">
      <w:pPr>
        <w:ind w:firstLine="540"/>
        <w:jc w:val="both"/>
      </w:pPr>
      <w:r w:rsidRPr="006A14CD">
        <w:t xml:space="preserve">   Протезы должны соответствовать требованиям Государственного стандарта Российской Федерации </w:t>
      </w:r>
      <w:r w:rsidRPr="006A14CD">
        <w:rPr>
          <w:rFonts w:eastAsia="Arial"/>
          <w:lang w:eastAsia="ar-SA"/>
        </w:rPr>
        <w:t xml:space="preserve">ГОСТ Р 52876-2021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Pr="006A14CD">
        <w:t>ГОСТР 53869-2021 «Протезы нижних конечностей. Технические требования». Протезы должны быть изготовлены в соответствии с действующими стандартами,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 w:rsidRPr="006A14CD">
        <w:t xml:space="preserve"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 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>Соответствие «ГОСТ Р 59542-2021. Национальный стандарт Российской Федерации. Реабилитационные мероприятия. Услуги по обучению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>пользованию протезом нижней конечности" (далее – ГОСТ Р 59542-2021)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>по протезированию нижних конечностей.</w:t>
      </w:r>
    </w:p>
    <w:p w:rsidR="00737E14" w:rsidRPr="006A14CD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>Исполнитель в ходе выполнения работ (оказания услуг) по протезированию нижних конечностей должен обучить получателя пользованию протезом в соответствии с требованиями ГОСТ Р 59542-2021.</w:t>
      </w:r>
    </w:p>
    <w:p w:rsidR="009B60DF" w:rsidRDefault="009B60DF" w:rsidP="009B60DF">
      <w:pPr>
        <w:pStyle w:val="1"/>
        <w:ind w:left="0" w:firstLine="0"/>
        <w:rPr>
          <w:b w:val="0"/>
        </w:rPr>
      </w:pPr>
    </w:p>
    <w:p w:rsidR="009B60DF" w:rsidRDefault="009B60DF" w:rsidP="009B60DF">
      <w:pPr>
        <w:keepNext/>
        <w:jc w:val="center"/>
        <w:rPr>
          <w:b/>
          <w:u w:val="single"/>
        </w:rPr>
      </w:pPr>
      <w:r>
        <w:rPr>
          <w:b/>
          <w:u w:val="single"/>
        </w:rPr>
        <w:t>Требования к месту, условиям, сроку и (или) объему предоставленных гарантий качества работ:</w:t>
      </w:r>
    </w:p>
    <w:p w:rsidR="009B60DF" w:rsidRDefault="009B60DF" w:rsidP="009B60DF">
      <w:pPr>
        <w:shd w:val="clear" w:color="auto" w:fill="FFFFFF"/>
        <w:tabs>
          <w:tab w:val="left" w:pos="708"/>
        </w:tabs>
        <w:autoSpaceDE w:val="0"/>
        <w:snapToGrid w:val="0"/>
        <w:ind w:firstLine="851"/>
        <w:jc w:val="both"/>
      </w:pPr>
      <w:r>
        <w:t>Гарантия  действительна   в  течение  12  (двенадцать)  месяцев  после подписания  Актов сдачи-приемки Изделия.</w:t>
      </w:r>
    </w:p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t>Гарантия распространяется на все составляющие изделия, за исключением составляющих, имеющих самостоятельные сроки пользования в соответствии с действующим законодательством. В период гарантийного срока службы производить гарантийный ремонт или замену изделия, вышедшего из строя до истечения гарантийного срока, за счет собственных средств.</w:t>
      </w:r>
    </w:p>
    <w:p w:rsidR="009B60DF" w:rsidRDefault="009B60DF" w:rsidP="009B60DF">
      <w:r>
        <w:t xml:space="preserve">          Возмещать расходы за проезд Получателя, а также сопровождающего лица, для замены или ремонта изделия до истечения его гарантийного срока за счет средств Исполнителя, ремонт осуществляется бесплатно, гарантия распространяется на все составляющие изделия.</w:t>
      </w:r>
    </w:p>
    <w:p w:rsidR="00AD0416" w:rsidRDefault="00AD0416" w:rsidP="009B60DF">
      <w:r>
        <w:rPr>
          <w:color w:val="000000" w:themeColor="text1"/>
        </w:rPr>
        <w:t xml:space="preserve">   </w:t>
      </w:r>
    </w:p>
    <w:sectPr w:rsidR="00AD0416" w:rsidSect="005E6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48" w:rsidRDefault="00C26B48" w:rsidP="006A4405">
      <w:r>
        <w:separator/>
      </w:r>
    </w:p>
  </w:endnote>
  <w:endnote w:type="continuationSeparator" w:id="0">
    <w:p w:rsidR="00C26B48" w:rsidRDefault="00C26B48" w:rsidP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48" w:rsidRDefault="00C26B48" w:rsidP="006A4405">
      <w:r>
        <w:separator/>
      </w:r>
    </w:p>
  </w:footnote>
  <w:footnote w:type="continuationSeparator" w:id="0">
    <w:p w:rsidR="00C26B48" w:rsidRDefault="00C26B48" w:rsidP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867BF0"/>
    <w:multiLevelType w:val="hybridMultilevel"/>
    <w:tmpl w:val="EE106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652317"/>
    <w:multiLevelType w:val="hybridMultilevel"/>
    <w:tmpl w:val="B0AC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016CC0"/>
    <w:rsid w:val="00031287"/>
    <w:rsid w:val="0005505B"/>
    <w:rsid w:val="000817E9"/>
    <w:rsid w:val="000A7BE0"/>
    <w:rsid w:val="000C6F1F"/>
    <w:rsid w:val="00164557"/>
    <w:rsid w:val="001923DD"/>
    <w:rsid w:val="00231936"/>
    <w:rsid w:val="00295D7B"/>
    <w:rsid w:val="002A102D"/>
    <w:rsid w:val="002A137C"/>
    <w:rsid w:val="0030371D"/>
    <w:rsid w:val="003351E5"/>
    <w:rsid w:val="00423B24"/>
    <w:rsid w:val="00470198"/>
    <w:rsid w:val="004747B3"/>
    <w:rsid w:val="00476A87"/>
    <w:rsid w:val="004977AF"/>
    <w:rsid w:val="004C368E"/>
    <w:rsid w:val="004E1548"/>
    <w:rsid w:val="00525F00"/>
    <w:rsid w:val="005E6BF5"/>
    <w:rsid w:val="00611D3E"/>
    <w:rsid w:val="006149B5"/>
    <w:rsid w:val="006561B4"/>
    <w:rsid w:val="00662E75"/>
    <w:rsid w:val="00682986"/>
    <w:rsid w:val="006A4405"/>
    <w:rsid w:val="006B399A"/>
    <w:rsid w:val="00705D98"/>
    <w:rsid w:val="00715344"/>
    <w:rsid w:val="00737E14"/>
    <w:rsid w:val="00750B57"/>
    <w:rsid w:val="00771317"/>
    <w:rsid w:val="007D2601"/>
    <w:rsid w:val="007E60E1"/>
    <w:rsid w:val="007F15C3"/>
    <w:rsid w:val="0081706D"/>
    <w:rsid w:val="00877BF8"/>
    <w:rsid w:val="008C2D92"/>
    <w:rsid w:val="008C34BF"/>
    <w:rsid w:val="00917DB3"/>
    <w:rsid w:val="00996D7F"/>
    <w:rsid w:val="009B60DF"/>
    <w:rsid w:val="009C11D1"/>
    <w:rsid w:val="009C7405"/>
    <w:rsid w:val="009E7691"/>
    <w:rsid w:val="00A05CEE"/>
    <w:rsid w:val="00A16B3D"/>
    <w:rsid w:val="00A21F76"/>
    <w:rsid w:val="00AA1876"/>
    <w:rsid w:val="00AD0416"/>
    <w:rsid w:val="00AF2F21"/>
    <w:rsid w:val="00B13B1B"/>
    <w:rsid w:val="00B20BF6"/>
    <w:rsid w:val="00B20EF6"/>
    <w:rsid w:val="00B2660E"/>
    <w:rsid w:val="00BD4B3A"/>
    <w:rsid w:val="00C26B48"/>
    <w:rsid w:val="00C27CE1"/>
    <w:rsid w:val="00C41AED"/>
    <w:rsid w:val="00C63500"/>
    <w:rsid w:val="00CB187A"/>
    <w:rsid w:val="00D10B2E"/>
    <w:rsid w:val="00D139BD"/>
    <w:rsid w:val="00D70924"/>
    <w:rsid w:val="00DE0333"/>
    <w:rsid w:val="00EB7980"/>
    <w:rsid w:val="00F45AC3"/>
    <w:rsid w:val="00F90072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95D6-8D27-43DC-9648-83E8E23B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924"/>
    <w:pPr>
      <w:keepNext/>
      <w:suppressAutoHyphens/>
      <w:ind w:left="1429" w:hanging="360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70924"/>
    <w:pPr>
      <w:keepNext/>
      <w:suppressAutoHyphens/>
      <w:jc w:val="center"/>
      <w:outlineLvl w:val="2"/>
    </w:pPr>
    <w:rPr>
      <w:b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character" w:customStyle="1" w:styleId="10">
    <w:name w:val="Заголовок 1 Знак"/>
    <w:basedOn w:val="a0"/>
    <w:link w:val="1"/>
    <w:rsid w:val="00D709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0924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12pt">
    <w:name w:val="Основной текст + 12 pt"/>
    <w:rsid w:val="00D7092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8">
    <w:name w:val="Содержимое таблицы"/>
    <w:basedOn w:val="a"/>
    <w:rsid w:val="00996D7F"/>
    <w:pPr>
      <w:widowControl w:val="0"/>
      <w:suppressLineNumbers/>
      <w:suppressAutoHyphens/>
    </w:pPr>
    <w:rPr>
      <w:rFonts w:eastAsia="Arial Unicode MS" w:cs="Tahoma"/>
      <w:color w:val="000000"/>
      <w:kern w:val="2"/>
      <w:lang w:val="en-US" w:eastAsia="hi-IN" w:bidi="hi-IN"/>
    </w:rPr>
  </w:style>
  <w:style w:type="paragraph" w:customStyle="1" w:styleId="11">
    <w:name w:val="Абзац списка1"/>
    <w:basedOn w:val="a"/>
    <w:rsid w:val="00996D7F"/>
    <w:pPr>
      <w:suppressAutoHyphens/>
      <w:ind w:left="720"/>
    </w:pPr>
    <w:rPr>
      <w:kern w:val="1"/>
      <w:lang w:eastAsia="ar-SA"/>
    </w:rPr>
  </w:style>
  <w:style w:type="paragraph" w:styleId="a9">
    <w:name w:val="No Spacing"/>
    <w:uiPriority w:val="1"/>
    <w:qFormat/>
    <w:rsid w:val="0047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 Знак"/>
    <w:basedOn w:val="a"/>
    <w:rsid w:val="00055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505B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474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6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E150-9C44-4230-864B-45E9439D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Цекова Елена Юрьевна</cp:lastModifiedBy>
  <cp:revision>21</cp:revision>
  <dcterms:created xsi:type="dcterms:W3CDTF">2021-02-04T11:32:00Z</dcterms:created>
  <dcterms:modified xsi:type="dcterms:W3CDTF">2024-11-13T07:52:00Z</dcterms:modified>
</cp:coreProperties>
</file>