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9B" w:rsidRPr="00BD1D4A" w:rsidRDefault="00874A9B" w:rsidP="00874A9B">
      <w:pPr>
        <w:widowControl w:val="0"/>
        <w:suppressAutoHyphens w:val="0"/>
        <w:jc w:val="center"/>
        <w:rPr>
          <w:b/>
          <w:sz w:val="24"/>
          <w:szCs w:val="24"/>
        </w:rPr>
      </w:pPr>
      <w:r w:rsidRPr="00BD1D4A">
        <w:rPr>
          <w:b/>
          <w:sz w:val="24"/>
          <w:szCs w:val="24"/>
        </w:rPr>
        <w:t>Описание объекта закупки</w:t>
      </w:r>
    </w:p>
    <w:p w:rsidR="00BD1D4A" w:rsidRDefault="00BD1D4A" w:rsidP="00277F50">
      <w:pPr>
        <w:pStyle w:val="ConsPlusNormal"/>
        <w:suppressAutoHyphens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D4A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на выполнение работ </w:t>
      </w:r>
      <w:r w:rsidRPr="00BD1D4A">
        <w:rPr>
          <w:rFonts w:ascii="Times New Roman" w:eastAsia="Calibri" w:hAnsi="Times New Roman" w:cs="Times New Roman"/>
          <w:b/>
          <w:sz w:val="24"/>
          <w:szCs w:val="24"/>
        </w:rPr>
        <w:t>по протезированию  верхних  конечностей для  обеспечения ими граждан,  пострадавших  вследствие несчастных случаев на производстве и профзаболеваний  в 2022 году</w:t>
      </w:r>
      <w:r w:rsidRPr="00BD1D4A">
        <w:rPr>
          <w:rFonts w:ascii="Times New Roman" w:hAnsi="Times New Roman" w:cs="Times New Roman"/>
          <w:b/>
          <w:sz w:val="24"/>
          <w:szCs w:val="24"/>
        </w:rPr>
        <w:t>.</w:t>
      </w:r>
    </w:p>
    <w:p w:rsidR="00BD1D4A" w:rsidRPr="00BD1D4A" w:rsidRDefault="00BD1D4A" w:rsidP="00874A9B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A9B" w:rsidRPr="00C3502B" w:rsidRDefault="00874A9B" w:rsidP="00874A9B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CFE">
        <w:rPr>
          <w:rFonts w:ascii="Times New Roman" w:hAnsi="Times New Roman" w:cs="Times New Roman"/>
          <w:sz w:val="24"/>
          <w:szCs w:val="24"/>
        </w:rPr>
        <w:tab/>
        <w:t xml:space="preserve">Работы по изготовлению протезов </w:t>
      </w:r>
      <w:r w:rsidR="00B717E0">
        <w:rPr>
          <w:rFonts w:ascii="Times New Roman" w:hAnsi="Times New Roman" w:cs="Times New Roman"/>
          <w:sz w:val="24"/>
          <w:szCs w:val="24"/>
        </w:rPr>
        <w:t>верхних</w:t>
      </w:r>
      <w:r w:rsidRPr="00681CFE">
        <w:rPr>
          <w:rFonts w:ascii="Times New Roman" w:hAnsi="Times New Roman" w:cs="Times New Roman"/>
          <w:sz w:val="24"/>
          <w:szCs w:val="24"/>
        </w:rPr>
        <w:t xml:space="preserve"> конечностей для обеспечения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02B">
        <w:rPr>
          <w:rFonts w:ascii="Times New Roman" w:hAnsi="Times New Roman" w:cs="Times New Roman"/>
          <w:bCs/>
          <w:sz w:val="24"/>
          <w:szCs w:val="24"/>
        </w:rPr>
        <w:t>застрахованных лиц пострадавших в результате несчастных  случаев на производстве и профзаболеваний</w:t>
      </w:r>
      <w:r w:rsidRPr="00C3502B">
        <w:rPr>
          <w:rFonts w:ascii="Times New Roman" w:hAnsi="Times New Roman" w:cs="Times New Roman"/>
          <w:sz w:val="24"/>
          <w:szCs w:val="24"/>
        </w:rPr>
        <w:t xml:space="preserve"> – предусматривают индивидуальное изготовление, обучение пользованию и выдачу технического средства реабилитации. </w:t>
      </w:r>
    </w:p>
    <w:p w:rsidR="00874A9B" w:rsidRPr="00681CFE" w:rsidRDefault="00874A9B" w:rsidP="00874A9B">
      <w:pPr>
        <w:widowControl w:val="0"/>
        <w:suppressAutoHyphens w:val="0"/>
        <w:ind w:firstLine="567"/>
        <w:jc w:val="both"/>
        <w:rPr>
          <w:b/>
          <w:bCs/>
          <w:sz w:val="24"/>
          <w:szCs w:val="24"/>
        </w:rPr>
      </w:pPr>
    </w:p>
    <w:p w:rsidR="00874A9B" w:rsidRDefault="00874A9B" w:rsidP="00874A9B">
      <w:pPr>
        <w:widowControl w:val="0"/>
        <w:suppressAutoHyphens w:val="0"/>
        <w:jc w:val="center"/>
        <w:rPr>
          <w:b/>
          <w:sz w:val="24"/>
          <w:szCs w:val="24"/>
        </w:rPr>
      </w:pPr>
      <w:r w:rsidRPr="00681CFE">
        <w:rPr>
          <w:b/>
          <w:sz w:val="24"/>
          <w:szCs w:val="24"/>
        </w:rPr>
        <w:t xml:space="preserve">Требования к качеству </w:t>
      </w:r>
      <w:r>
        <w:rPr>
          <w:b/>
          <w:sz w:val="24"/>
          <w:szCs w:val="24"/>
        </w:rPr>
        <w:t xml:space="preserve">выполнению </w:t>
      </w:r>
      <w:r w:rsidRPr="00681CFE">
        <w:rPr>
          <w:b/>
          <w:sz w:val="24"/>
          <w:szCs w:val="24"/>
        </w:rPr>
        <w:t>работ</w:t>
      </w:r>
    </w:p>
    <w:p w:rsidR="003A39B3" w:rsidRPr="00681CFE" w:rsidRDefault="003A39B3" w:rsidP="00874A9B">
      <w:pPr>
        <w:widowControl w:val="0"/>
        <w:suppressAutoHyphens w:val="0"/>
        <w:jc w:val="center"/>
        <w:rPr>
          <w:b/>
          <w:sz w:val="24"/>
          <w:szCs w:val="24"/>
        </w:rPr>
      </w:pPr>
    </w:p>
    <w:tbl>
      <w:tblPr>
        <w:tblW w:w="9244" w:type="dxa"/>
        <w:tblCellSpacing w:w="0" w:type="dxa"/>
        <w:tblInd w:w="15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0"/>
        <w:gridCol w:w="5213"/>
        <w:gridCol w:w="1591"/>
      </w:tblGrid>
      <w:tr w:rsidR="00BD1D4A" w:rsidRPr="00926953" w:rsidTr="00DC57C3">
        <w:trPr>
          <w:trHeight w:val="675"/>
          <w:tblCellSpacing w:w="0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1D4A" w:rsidRPr="00926953" w:rsidRDefault="00BD1D4A" w:rsidP="00207951">
            <w:pPr>
              <w:jc w:val="center"/>
              <w:rPr>
                <w:sz w:val="24"/>
                <w:szCs w:val="24"/>
                <w:lang w:eastAsia="ru-RU"/>
              </w:rPr>
            </w:pPr>
            <w:r w:rsidRPr="00926953">
              <w:rPr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1D4A" w:rsidRPr="00926953" w:rsidRDefault="00BD1D4A" w:rsidP="00207951">
            <w:pPr>
              <w:jc w:val="center"/>
              <w:rPr>
                <w:sz w:val="24"/>
                <w:szCs w:val="24"/>
                <w:lang w:eastAsia="ru-RU"/>
              </w:rPr>
            </w:pPr>
            <w:r w:rsidRPr="00926953">
              <w:rPr>
                <w:b/>
                <w:bCs/>
                <w:sz w:val="24"/>
                <w:szCs w:val="24"/>
                <w:lang w:eastAsia="ru-RU"/>
              </w:rPr>
              <w:t xml:space="preserve">Технические характеристики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1D4A" w:rsidRPr="00926953" w:rsidRDefault="00BD1D4A" w:rsidP="0020795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26953">
              <w:rPr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BD1D4A" w:rsidRPr="00926953" w:rsidRDefault="00BD1D4A" w:rsidP="00207951">
            <w:pPr>
              <w:jc w:val="center"/>
              <w:rPr>
                <w:sz w:val="24"/>
                <w:szCs w:val="24"/>
                <w:lang w:eastAsia="ru-RU"/>
              </w:rPr>
            </w:pPr>
            <w:r w:rsidRPr="00926953">
              <w:rPr>
                <w:b/>
                <w:bCs/>
                <w:sz w:val="24"/>
                <w:szCs w:val="24"/>
                <w:lang w:eastAsia="ru-RU"/>
              </w:rPr>
              <w:t>(шт.)</w:t>
            </w:r>
          </w:p>
        </w:tc>
      </w:tr>
      <w:tr w:rsidR="00BD1D4A" w:rsidRPr="00926953" w:rsidTr="00DC57C3">
        <w:trPr>
          <w:trHeight w:val="8385"/>
          <w:tblCellSpacing w:w="0" w:type="dxa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1D4A" w:rsidRPr="00773D1D" w:rsidRDefault="00BD1D4A" w:rsidP="002079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Протез </w:t>
            </w:r>
            <w:r w:rsidRPr="00773D1D">
              <w:rPr>
                <w:sz w:val="24"/>
                <w:szCs w:val="24"/>
              </w:rPr>
              <w:t xml:space="preserve"> предплечья с микропроцессорным управлением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1D4A" w:rsidRPr="00A60B12" w:rsidRDefault="00BD1D4A" w:rsidP="002079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Протез предплечья </w:t>
            </w:r>
            <w:r>
              <w:rPr>
                <w:sz w:val="24"/>
                <w:szCs w:val="24"/>
                <w:lang w:val="en-US"/>
              </w:rPr>
              <w:t>c</w:t>
            </w:r>
            <w:r w:rsidRPr="008F24DB">
              <w:rPr>
                <w:sz w:val="24"/>
                <w:szCs w:val="24"/>
              </w:rPr>
              <w:t xml:space="preserve"> микропроцессорным управлением</w:t>
            </w:r>
            <w:r>
              <w:rPr>
                <w:sz w:val="24"/>
                <w:szCs w:val="24"/>
              </w:rPr>
              <w:t xml:space="preserve"> с кистью</w:t>
            </w:r>
            <w:r w:rsidRPr="00A60B1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Естественные движения кисти обеспечивают два привода. Главный привод  позволяет выполнить движения захвата и создает усилие захвата, а привод большого </w:t>
            </w:r>
            <w:proofErr w:type="gramStart"/>
            <w:r>
              <w:rPr>
                <w:sz w:val="24"/>
                <w:szCs w:val="24"/>
              </w:rPr>
              <w:t>пальца-электронное</w:t>
            </w:r>
            <w:proofErr w:type="gramEnd"/>
            <w:r>
              <w:rPr>
                <w:sz w:val="24"/>
                <w:szCs w:val="24"/>
              </w:rPr>
              <w:t xml:space="preserve"> позиционирование большого пальца в дополнительной оси вращения  (Осуществляется активное управление большим, указательным и средним пальцем, а безымянный палец и мизинец выполняют пассивные движения) и позволяет реализовать 7 различных позиций кисти. Адаптивная скорость раскрытия-закрытия до 325 мм/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Пропорциональная</w:t>
            </w:r>
            <w:proofErr w:type="gramEnd"/>
            <w:r>
              <w:rPr>
                <w:sz w:val="24"/>
                <w:szCs w:val="24"/>
              </w:rPr>
              <w:t xml:space="preserve"> сила </w:t>
            </w:r>
            <w:proofErr w:type="spellStart"/>
            <w:r>
              <w:rPr>
                <w:sz w:val="24"/>
                <w:szCs w:val="24"/>
              </w:rPr>
              <w:t>схвата</w:t>
            </w:r>
            <w:proofErr w:type="spellEnd"/>
            <w:r>
              <w:rPr>
                <w:sz w:val="24"/>
                <w:szCs w:val="24"/>
              </w:rPr>
              <w:t xml:space="preserve"> в зависимости от положения большого пальца: Положение </w:t>
            </w:r>
            <w:proofErr w:type="spellStart"/>
            <w:r>
              <w:rPr>
                <w:sz w:val="24"/>
                <w:szCs w:val="24"/>
              </w:rPr>
              <w:t>противоупора</w:t>
            </w:r>
            <w:proofErr w:type="spellEnd"/>
            <w:r>
              <w:rPr>
                <w:sz w:val="24"/>
                <w:szCs w:val="24"/>
              </w:rPr>
              <w:t xml:space="preserve"> до 70Н; Латеральное положение до 60Н; Нейтральное положение до 15Н. Овальный адаптер запястья обеспечивает сгибание до 75 градусов в 4 положения, разгибание до 45 градусов в 3 положения, а так же пронацию и супинацию до 360 градусов в 24 фиксированных положениях, обеспечивает максимальную </w:t>
            </w:r>
            <w:proofErr w:type="spellStart"/>
            <w:r>
              <w:rPr>
                <w:sz w:val="24"/>
                <w:szCs w:val="24"/>
              </w:rPr>
              <w:t>косметичность</w:t>
            </w:r>
            <w:proofErr w:type="spellEnd"/>
            <w:r>
              <w:rPr>
                <w:sz w:val="24"/>
                <w:szCs w:val="24"/>
              </w:rPr>
              <w:t>. Система имеет контроллер</w:t>
            </w:r>
            <w:r w:rsidRPr="00ED7AFC">
              <w:rPr>
                <w:sz w:val="24"/>
                <w:szCs w:val="24"/>
              </w:rPr>
              <w:t>, позволяющий использовать до 7 алгоритмов управления системой.</w:t>
            </w:r>
            <w:r>
              <w:rPr>
                <w:sz w:val="24"/>
                <w:szCs w:val="24"/>
              </w:rPr>
              <w:t xml:space="preserve"> </w:t>
            </w:r>
            <w:r w:rsidRPr="00ED7AFC">
              <w:rPr>
                <w:sz w:val="24"/>
                <w:szCs w:val="24"/>
              </w:rPr>
              <w:t>Косметические оболочки имеют хороший физиологический внешний вид и большую долговечность.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1D4A" w:rsidRPr="00011F5F" w:rsidRDefault="00BD1D4A" w:rsidP="00207951">
            <w:pPr>
              <w:jc w:val="center"/>
              <w:rPr>
                <w:sz w:val="24"/>
                <w:szCs w:val="24"/>
              </w:rPr>
            </w:pPr>
            <w:r w:rsidRPr="00011F5F">
              <w:rPr>
                <w:sz w:val="24"/>
                <w:szCs w:val="24"/>
              </w:rPr>
              <w:t>1</w:t>
            </w:r>
          </w:p>
        </w:tc>
      </w:tr>
    </w:tbl>
    <w:p w:rsidR="00BD1D4A" w:rsidRPr="00F76264" w:rsidRDefault="00BD1D4A" w:rsidP="00BD1D4A">
      <w:pPr>
        <w:pStyle w:val="ConsPlusNormal"/>
        <w:suppressAutoHyphens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D1D4A" w:rsidRDefault="00BD1D4A" w:rsidP="00BD1D4A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Протезы </w:t>
      </w:r>
      <w:r w:rsidRPr="00560BA2">
        <w:rPr>
          <w:rFonts w:ascii="Times New Roman" w:hAnsi="Times New Roman" w:cs="Times New Roman"/>
          <w:sz w:val="24"/>
          <w:szCs w:val="24"/>
        </w:rPr>
        <w:t>верхних</w:t>
      </w:r>
      <w:r w:rsidRPr="00F7347C">
        <w:rPr>
          <w:rFonts w:ascii="Times New Roman" w:hAnsi="Times New Roman" w:cs="Times New Roman"/>
          <w:sz w:val="24"/>
          <w:szCs w:val="24"/>
        </w:rPr>
        <w:t xml:space="preserve"> конечностей должны быть классифицированы в соответствии с требованиями </w:t>
      </w:r>
      <w:r w:rsidRPr="00F7347C">
        <w:rPr>
          <w:rFonts w:ascii="Times New Roman" w:hAnsi="Times New Roman"/>
          <w:sz w:val="24"/>
          <w:szCs w:val="24"/>
        </w:rPr>
        <w:t>Национально</w:t>
      </w:r>
      <w:r w:rsidRPr="00DB4EDF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стандарта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ИСО 9999-2019</w:t>
      </w:r>
      <w:r w:rsidRPr="00F7347C">
        <w:rPr>
          <w:rFonts w:ascii="Times New Roman" w:hAnsi="Times New Roman"/>
          <w:sz w:val="24"/>
          <w:szCs w:val="24"/>
        </w:rPr>
        <w:t xml:space="preserve"> «Вспомогательные средства для людей с ограничениями жизнедеятельности. Классификация и терминология»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347C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51819-2017 </w:t>
      </w:r>
      <w:r w:rsidRPr="00681CFE">
        <w:rPr>
          <w:rFonts w:ascii="Times New Roman" w:hAnsi="Times New Roman" w:cs="Times New Roman"/>
          <w:sz w:val="24"/>
          <w:szCs w:val="24"/>
        </w:rPr>
        <w:t xml:space="preserve">«Протезирование и </w:t>
      </w:r>
      <w:proofErr w:type="spellStart"/>
      <w:r w:rsidRPr="00681CFE">
        <w:rPr>
          <w:rFonts w:ascii="Times New Roman" w:hAnsi="Times New Roman" w:cs="Times New Roman"/>
          <w:sz w:val="24"/>
          <w:szCs w:val="24"/>
        </w:rPr>
        <w:t>ортезирование</w:t>
      </w:r>
      <w:proofErr w:type="spellEnd"/>
      <w:r w:rsidRPr="00681CFE">
        <w:rPr>
          <w:rFonts w:ascii="Times New Roman" w:hAnsi="Times New Roman" w:cs="Times New Roman"/>
          <w:sz w:val="24"/>
          <w:szCs w:val="24"/>
        </w:rPr>
        <w:t xml:space="preserve"> верхних и нижних конечностей».</w:t>
      </w:r>
    </w:p>
    <w:p w:rsidR="00BD1D4A" w:rsidRDefault="00BD1D4A" w:rsidP="00BD1D4A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808B6">
        <w:rPr>
          <w:rFonts w:ascii="Times New Roman" w:hAnsi="Times New Roman" w:cs="Times New Roman"/>
          <w:sz w:val="24"/>
          <w:szCs w:val="24"/>
        </w:rPr>
        <w:t xml:space="preserve">Протезы должны изготавливаться с  учетом анатомических </w:t>
      </w:r>
      <w:r>
        <w:rPr>
          <w:rFonts w:ascii="Times New Roman" w:hAnsi="Times New Roman" w:cs="Times New Roman"/>
          <w:sz w:val="24"/>
          <w:szCs w:val="24"/>
        </w:rPr>
        <w:t>дефектов верхних</w:t>
      </w:r>
      <w:r w:rsidRPr="001808B6">
        <w:rPr>
          <w:rFonts w:ascii="Times New Roman" w:hAnsi="Times New Roman" w:cs="Times New Roman"/>
          <w:sz w:val="24"/>
          <w:szCs w:val="24"/>
        </w:rPr>
        <w:t xml:space="preserve"> конечностей, индивидуально для каждого пациента, при этом в каждом конкретном случае необходимо максимально </w:t>
      </w:r>
      <w:r w:rsidRPr="001808B6">
        <w:rPr>
          <w:rFonts w:ascii="Times New Roman" w:hAnsi="Times New Roman" w:cs="Times New Roman"/>
          <w:sz w:val="24"/>
          <w:szCs w:val="24"/>
        </w:rPr>
        <w:lastRenderedPageBreak/>
        <w:t xml:space="preserve">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BD1D4A" w:rsidRPr="001808B6" w:rsidRDefault="00BD1D4A" w:rsidP="00BD1D4A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8B6">
        <w:rPr>
          <w:rFonts w:ascii="Times New Roman" w:hAnsi="Times New Roman" w:cs="Times New Roman"/>
          <w:sz w:val="24"/>
          <w:szCs w:val="24"/>
        </w:rPr>
        <w:tab/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BD1D4A" w:rsidRPr="00A13B0D" w:rsidRDefault="00BD1D4A" w:rsidP="00BD1D4A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0D">
        <w:rPr>
          <w:rFonts w:ascii="Times New Roman" w:hAnsi="Times New Roman" w:cs="Times New Roman"/>
          <w:sz w:val="24"/>
          <w:szCs w:val="24"/>
        </w:rPr>
        <w:tab/>
        <w:t xml:space="preserve">Металлические протезы должны быть изготовлены из коррозийно-стойких материалов или защищены от коррозии специальными покрытиями. </w:t>
      </w:r>
    </w:p>
    <w:p w:rsidR="00BD1D4A" w:rsidRPr="008F4548" w:rsidRDefault="00BD1D4A" w:rsidP="00BD1D4A">
      <w:pPr>
        <w:shd w:val="clear" w:color="auto" w:fill="FFFFFF"/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8F4548">
        <w:rPr>
          <w:sz w:val="24"/>
          <w:szCs w:val="24"/>
        </w:rPr>
        <w:t>Материалы</w:t>
      </w:r>
      <w:proofErr w:type="gramEnd"/>
      <w:r w:rsidRPr="008F4548">
        <w:rPr>
          <w:sz w:val="24"/>
          <w:szCs w:val="24"/>
        </w:rPr>
        <w:t xml:space="preserve"> пр</w:t>
      </w:r>
      <w:r>
        <w:rPr>
          <w:sz w:val="24"/>
          <w:szCs w:val="24"/>
        </w:rPr>
        <w:t>именяемые при выполнении протезов</w:t>
      </w:r>
      <w:r w:rsidRPr="008F4548">
        <w:rPr>
          <w:sz w:val="24"/>
          <w:szCs w:val="24"/>
        </w:rPr>
        <w:t xml:space="preserve"> не должны содержать ядовитых веществ, а также не должны воздействовать на цвет поверхности (пола, одежды, кожи пользователя), с которым контактируют те или иные детали при нормальной эксплуатации, они должны быть разрешены к применению Минздравом России.</w:t>
      </w:r>
    </w:p>
    <w:p w:rsidR="00BD1D4A" w:rsidRPr="008F4548" w:rsidRDefault="00BD1D4A" w:rsidP="00BD1D4A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914D62">
        <w:rPr>
          <w:b/>
          <w:i/>
          <w:sz w:val="24"/>
          <w:szCs w:val="24"/>
        </w:rPr>
        <w:t>Требования к гарантийному сроку выполнения работ</w:t>
      </w:r>
      <w:r w:rsidRPr="008F4548">
        <w:rPr>
          <w:i/>
          <w:sz w:val="24"/>
          <w:szCs w:val="24"/>
        </w:rPr>
        <w:t xml:space="preserve">: </w:t>
      </w:r>
      <w:r w:rsidRPr="008F4548">
        <w:rPr>
          <w:sz w:val="24"/>
          <w:szCs w:val="24"/>
        </w:rPr>
        <w:t>срок предоставления гарантий качества ра</w:t>
      </w:r>
      <w:r>
        <w:rPr>
          <w:sz w:val="24"/>
          <w:szCs w:val="24"/>
        </w:rPr>
        <w:t>бот должен составлять не менее 9 (девять</w:t>
      </w:r>
      <w:r w:rsidRPr="008F4548">
        <w:rPr>
          <w:sz w:val="24"/>
          <w:szCs w:val="24"/>
        </w:rPr>
        <w:t xml:space="preserve">) месяцев. </w:t>
      </w:r>
    </w:p>
    <w:p w:rsidR="00BD1D4A" w:rsidRDefault="00BD1D4A" w:rsidP="00BD1D4A">
      <w:pPr>
        <w:tabs>
          <w:tab w:val="left" w:pos="0"/>
        </w:tabs>
        <w:suppressAutoHyphens w:val="0"/>
        <w:ind w:firstLine="709"/>
        <w:jc w:val="both"/>
        <w:rPr>
          <w:sz w:val="24"/>
          <w:szCs w:val="24"/>
        </w:rPr>
      </w:pPr>
      <w:r w:rsidRPr="00914D62">
        <w:rPr>
          <w:b/>
          <w:i/>
          <w:sz w:val="24"/>
          <w:szCs w:val="24"/>
          <w:lang w:eastAsia="ru-RU"/>
        </w:rPr>
        <w:t>Требование к порядку выполнения работ</w:t>
      </w:r>
      <w:r w:rsidRPr="008F4548">
        <w:rPr>
          <w:i/>
          <w:sz w:val="24"/>
          <w:szCs w:val="24"/>
          <w:lang w:eastAsia="ru-RU"/>
        </w:rPr>
        <w:t xml:space="preserve">: </w:t>
      </w:r>
      <w:r w:rsidRPr="008F4548">
        <w:rPr>
          <w:sz w:val="24"/>
          <w:szCs w:val="24"/>
          <w:lang w:eastAsia="ru-RU"/>
        </w:rPr>
        <w:t xml:space="preserve">выполнение работ должно осуществляться с момента заключения государственного контракта не позднее </w:t>
      </w:r>
      <w:r>
        <w:rPr>
          <w:sz w:val="24"/>
          <w:szCs w:val="24"/>
          <w:lang w:eastAsia="ru-RU"/>
        </w:rPr>
        <w:t>25 декабря 202</w:t>
      </w:r>
      <w:r w:rsidRPr="0062140E">
        <w:rPr>
          <w:sz w:val="24"/>
          <w:szCs w:val="24"/>
          <w:lang w:eastAsia="ru-RU"/>
        </w:rPr>
        <w:t>2</w:t>
      </w:r>
      <w:r w:rsidRPr="008F4548">
        <w:rPr>
          <w:sz w:val="24"/>
          <w:szCs w:val="24"/>
          <w:lang w:eastAsia="ru-RU"/>
        </w:rPr>
        <w:t xml:space="preserve"> года, </w:t>
      </w:r>
      <w:r w:rsidRPr="008F4548">
        <w:rPr>
          <w:sz w:val="24"/>
          <w:szCs w:val="24"/>
        </w:rPr>
        <w:t>выполнение работ осуществляется в течение 60 (шестидесяти) календарных дней со дня получения направления, выдаваемого Заказчиком.</w:t>
      </w:r>
      <w:r w:rsidRPr="005252E7">
        <w:rPr>
          <w:sz w:val="24"/>
          <w:szCs w:val="24"/>
        </w:rPr>
        <w:t xml:space="preserve"> </w:t>
      </w:r>
      <w:r w:rsidRPr="00D637A8">
        <w:rPr>
          <w:sz w:val="24"/>
          <w:szCs w:val="24"/>
        </w:rPr>
        <w:t xml:space="preserve"> В</w:t>
      </w:r>
      <w:r>
        <w:rPr>
          <w:sz w:val="24"/>
          <w:szCs w:val="24"/>
        </w:rPr>
        <w:t>ыполнение работ должно быть осуществлено по месту изготовления изделий или при необходимости по месту жительства пострадавшего (на территории Республики Адыгея), по индивидуальным заказам пострадавших. При наличии направлений Заказчика.</w:t>
      </w:r>
    </w:p>
    <w:p w:rsidR="00BD1D4A" w:rsidRDefault="00BD1D4A" w:rsidP="00BD1D4A">
      <w:pPr>
        <w:tabs>
          <w:tab w:val="left" w:pos="0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  до начала выполнения работ предоставить Получателю право выбора способа получения готового Изделия (по месту жительства, по месту нахождения пункта выдачи) посредством взаимодействия с Получателем, используя Реестр получателей, предоставленный Заказчиком.</w:t>
      </w:r>
    </w:p>
    <w:p w:rsidR="00BD1D4A" w:rsidRPr="00D637A8" w:rsidRDefault="00BD1D4A" w:rsidP="00BD1D4A">
      <w:pPr>
        <w:tabs>
          <w:tab w:val="left" w:pos="0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Контра</w:t>
      </w:r>
      <w:proofErr w:type="gramStart"/>
      <w:r>
        <w:rPr>
          <w:sz w:val="24"/>
          <w:szCs w:val="24"/>
        </w:rPr>
        <w:t>кт вст</w:t>
      </w:r>
      <w:proofErr w:type="gramEnd"/>
      <w:r>
        <w:rPr>
          <w:sz w:val="24"/>
          <w:szCs w:val="24"/>
        </w:rPr>
        <w:t>упает в силу с момента его заключения и действует до 25.12.2022г. Окончание срока действия Контракта не влечет прекращения неисполненных обязательств Сторон по Контракту. В том числе гарантийных обязательств Исполнителя.</w:t>
      </w:r>
    </w:p>
    <w:p w:rsidR="00BD1D4A" w:rsidRPr="005252E7" w:rsidRDefault="00BD1D4A" w:rsidP="00BD1D4A">
      <w:pPr>
        <w:tabs>
          <w:tab w:val="left" w:pos="0"/>
        </w:tabs>
        <w:suppressAutoHyphens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252E7">
        <w:rPr>
          <w:sz w:val="24"/>
          <w:szCs w:val="24"/>
        </w:rPr>
        <w:t xml:space="preserve">   </w:t>
      </w:r>
      <w:r w:rsidRPr="00475E2A">
        <w:rPr>
          <w:b/>
          <w:i/>
          <w:sz w:val="24"/>
          <w:szCs w:val="24"/>
        </w:rPr>
        <w:t xml:space="preserve">Порядок </w:t>
      </w:r>
      <w:r w:rsidRPr="00475E2A">
        <w:rPr>
          <w:rFonts w:eastAsia="Calibri"/>
          <w:b/>
          <w:i/>
          <w:sz w:val="24"/>
          <w:szCs w:val="24"/>
          <w:lang w:eastAsia="en-US"/>
        </w:rPr>
        <w:t>оплат</w:t>
      </w:r>
      <w:r w:rsidRPr="00932838">
        <w:rPr>
          <w:rFonts w:eastAsia="Calibri"/>
          <w:i/>
          <w:sz w:val="24"/>
          <w:szCs w:val="24"/>
          <w:lang w:eastAsia="en-US"/>
        </w:rPr>
        <w:t>:</w:t>
      </w:r>
      <w:r w:rsidRPr="005252E7">
        <w:rPr>
          <w:rFonts w:eastAsia="Calibri"/>
          <w:i/>
          <w:color w:val="000000"/>
          <w:sz w:val="24"/>
          <w:szCs w:val="24"/>
        </w:rPr>
        <w:t xml:space="preserve"> </w:t>
      </w:r>
      <w:r w:rsidRPr="005252E7">
        <w:rPr>
          <w:rFonts w:eastAsia="Calibri"/>
          <w:color w:val="000000"/>
          <w:sz w:val="24"/>
          <w:szCs w:val="24"/>
        </w:rPr>
        <w:t>оплата производится по безналичному расчету с расчетного счета Заказчика на расчетн</w:t>
      </w:r>
      <w:r>
        <w:rPr>
          <w:rFonts w:eastAsia="Calibri"/>
          <w:color w:val="000000"/>
          <w:sz w:val="24"/>
          <w:szCs w:val="24"/>
        </w:rPr>
        <w:t>ый счет Исполнителя  в течение 7 (семи</w:t>
      </w:r>
      <w:r w:rsidRPr="005252E7">
        <w:rPr>
          <w:rFonts w:eastAsia="Calibri"/>
          <w:color w:val="000000"/>
          <w:sz w:val="24"/>
          <w:szCs w:val="24"/>
        </w:rPr>
        <w:t>)</w:t>
      </w:r>
      <w:r>
        <w:rPr>
          <w:rFonts w:eastAsia="Calibri"/>
          <w:color w:val="000000"/>
          <w:sz w:val="24"/>
          <w:szCs w:val="24"/>
        </w:rPr>
        <w:t xml:space="preserve"> рабочих дней</w:t>
      </w:r>
      <w:r w:rsidRPr="005252E7">
        <w:rPr>
          <w:sz w:val="24"/>
          <w:szCs w:val="24"/>
        </w:rPr>
        <w:t xml:space="preserve"> </w:t>
      </w:r>
      <w:r w:rsidRPr="005252E7">
        <w:rPr>
          <w:rFonts w:eastAsia="Calibri"/>
          <w:color w:val="000000"/>
          <w:sz w:val="24"/>
          <w:szCs w:val="24"/>
        </w:rPr>
        <w:t xml:space="preserve"> </w:t>
      </w:r>
      <w:proofErr w:type="gramStart"/>
      <w:r w:rsidRPr="005252E7">
        <w:rPr>
          <w:rFonts w:eastAsia="Calibri"/>
          <w:color w:val="000000"/>
          <w:sz w:val="24"/>
          <w:szCs w:val="24"/>
        </w:rPr>
        <w:t>с даты подписания</w:t>
      </w:r>
      <w:proofErr w:type="gramEnd"/>
      <w:r w:rsidRPr="005252E7">
        <w:rPr>
          <w:rFonts w:eastAsia="Calibri"/>
          <w:color w:val="000000"/>
          <w:sz w:val="24"/>
          <w:szCs w:val="24"/>
        </w:rPr>
        <w:t xml:space="preserve"> заказч</w:t>
      </w:r>
      <w:r>
        <w:rPr>
          <w:rFonts w:eastAsia="Calibri"/>
          <w:color w:val="000000"/>
          <w:sz w:val="24"/>
          <w:szCs w:val="24"/>
        </w:rPr>
        <w:t>иком документа о выполнении работ</w:t>
      </w:r>
      <w:r w:rsidRPr="005252E7">
        <w:rPr>
          <w:rFonts w:eastAsia="Calibri"/>
          <w:color w:val="000000"/>
          <w:sz w:val="24"/>
          <w:szCs w:val="24"/>
        </w:rPr>
        <w:t xml:space="preserve">. </w:t>
      </w:r>
    </w:p>
    <w:p w:rsidR="00874A9B" w:rsidRPr="00681CFE" w:rsidRDefault="00874A9B" w:rsidP="00874A9B">
      <w:pPr>
        <w:widowControl w:val="0"/>
        <w:tabs>
          <w:tab w:val="left" w:pos="720"/>
        </w:tabs>
        <w:suppressAutoHyphens w:val="0"/>
        <w:ind w:firstLine="494"/>
        <w:jc w:val="both"/>
        <w:rPr>
          <w:sz w:val="24"/>
          <w:szCs w:val="24"/>
        </w:rPr>
      </w:pPr>
      <w:bookmarkStart w:id="0" w:name="_GoBack"/>
      <w:bookmarkEnd w:id="0"/>
    </w:p>
    <w:p w:rsidR="00874A9B" w:rsidRPr="00681CFE" w:rsidRDefault="00874A9B" w:rsidP="00874A9B">
      <w:pPr>
        <w:widowControl w:val="0"/>
        <w:suppressAutoHyphens w:val="0"/>
        <w:rPr>
          <w:sz w:val="24"/>
          <w:szCs w:val="24"/>
        </w:rPr>
      </w:pPr>
    </w:p>
    <w:p w:rsidR="00FE7B3B" w:rsidRDefault="00FE7B3B"/>
    <w:p w:rsidR="00D91901" w:rsidRDefault="00D91901"/>
    <w:p w:rsidR="00D91901" w:rsidRDefault="00D91901"/>
    <w:p w:rsidR="00D91901" w:rsidRDefault="00D91901"/>
    <w:p w:rsidR="00D91901" w:rsidRDefault="00D91901"/>
    <w:p w:rsidR="00D91901" w:rsidRDefault="00D91901"/>
    <w:p w:rsidR="00D91901" w:rsidRDefault="00D91901"/>
    <w:p w:rsidR="00D91901" w:rsidRDefault="00D91901"/>
    <w:p w:rsidR="00D91901" w:rsidRDefault="00D91901"/>
    <w:p w:rsidR="00D91901" w:rsidRDefault="00D91901"/>
    <w:p w:rsidR="00D91901" w:rsidRDefault="00D91901"/>
    <w:p w:rsidR="00D91901" w:rsidRDefault="00D91901"/>
    <w:p w:rsidR="00D91901" w:rsidRDefault="00D91901"/>
    <w:p w:rsidR="00D91901" w:rsidRDefault="00D91901"/>
    <w:p w:rsidR="00D91901" w:rsidRDefault="00D91901"/>
    <w:p w:rsidR="00D91901" w:rsidRDefault="00D91901"/>
    <w:p w:rsidR="00DC57C3" w:rsidRDefault="00DC57C3"/>
    <w:p w:rsidR="00DC57C3" w:rsidRDefault="00DC57C3"/>
    <w:sectPr w:rsidR="00DC57C3" w:rsidSect="00DC57C3">
      <w:pgSz w:w="11906" w:h="16838"/>
      <w:pgMar w:top="1134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434"/>
    <w:multiLevelType w:val="hybridMultilevel"/>
    <w:tmpl w:val="5C4AF3E2"/>
    <w:lvl w:ilvl="0" w:tplc="C1648BAE">
      <w:start w:val="1"/>
      <w:numFmt w:val="decimal"/>
      <w:lvlText w:val="%1."/>
      <w:lvlJc w:val="left"/>
      <w:pPr>
        <w:tabs>
          <w:tab w:val="num" w:pos="539"/>
        </w:tabs>
        <w:ind w:left="199" w:hanging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A9B"/>
    <w:rsid w:val="00015DC1"/>
    <w:rsid w:val="00151D39"/>
    <w:rsid w:val="00170EB0"/>
    <w:rsid w:val="00277F50"/>
    <w:rsid w:val="002975BB"/>
    <w:rsid w:val="00395F93"/>
    <w:rsid w:val="003A39B3"/>
    <w:rsid w:val="003B067F"/>
    <w:rsid w:val="00465480"/>
    <w:rsid w:val="00514692"/>
    <w:rsid w:val="005764E1"/>
    <w:rsid w:val="005C117F"/>
    <w:rsid w:val="006451EA"/>
    <w:rsid w:val="007869C4"/>
    <w:rsid w:val="007C2CB3"/>
    <w:rsid w:val="00874A9B"/>
    <w:rsid w:val="00892EC0"/>
    <w:rsid w:val="00B23358"/>
    <w:rsid w:val="00B717E0"/>
    <w:rsid w:val="00BD1D4A"/>
    <w:rsid w:val="00C72CF8"/>
    <w:rsid w:val="00D91901"/>
    <w:rsid w:val="00DC57C3"/>
    <w:rsid w:val="00E93278"/>
    <w:rsid w:val="00FA6947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A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W-">
    <w:name w:val="WW-Базовый"/>
    <w:rsid w:val="00D91901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919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0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Содержимое таблицы"/>
    <w:basedOn w:val="a"/>
    <w:rsid w:val="00D91901"/>
    <w:pPr>
      <w:widowControl w:val="0"/>
      <w:suppressLineNumbers/>
    </w:pPr>
    <w:rPr>
      <w:rFonts w:ascii="Arial" w:eastAsia="SimSun" w:hAnsi="Arial" w:cs="Mangal"/>
      <w:kern w:val="1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A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Шишева Зара Заурбиевна</dc:creator>
  <cp:lastModifiedBy>Торопова Алла Александровна</cp:lastModifiedBy>
  <cp:revision>8</cp:revision>
  <cp:lastPrinted>2022-06-28T09:12:00Z</cp:lastPrinted>
  <dcterms:created xsi:type="dcterms:W3CDTF">2022-06-08T10:04:00Z</dcterms:created>
  <dcterms:modified xsi:type="dcterms:W3CDTF">2022-06-30T11:35:00Z</dcterms:modified>
</cp:coreProperties>
</file>