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8569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2117868051" w:edGrp="everyone"/>
      <w:r w:rsidR="00A65933" w:rsidRPr="00A65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</w:t>
      </w:r>
      <w:r w:rsidR="006E6D09" w:rsidRPr="006E6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 </w:t>
      </w:r>
      <w:r w:rsidR="00A767BC" w:rsidRPr="00A76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изготовлению и обеспечению техническими средствами реабилитации - аппаратами ортопедическими</w:t>
      </w:r>
      <w:permEnd w:id="2117868051"/>
    </w:p>
    <w:p w:rsidR="00D12B25" w:rsidRPr="00D12B25" w:rsidRDefault="008569DC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5641CE" w:rsidRDefault="005641CE" w:rsidP="00AA4F0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permStart w:id="1833838496" w:edGrp="everyone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Таблица №1</w:t>
      </w:r>
    </w:p>
    <w:p w:rsidR="00CC32D8" w:rsidRDefault="00CC32D8" w:rsidP="00AA4F0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526"/>
        <w:gridCol w:w="1462"/>
        <w:gridCol w:w="3979"/>
        <w:gridCol w:w="997"/>
        <w:gridCol w:w="1085"/>
      </w:tblGrid>
      <w:tr w:rsidR="008569DC" w:rsidRPr="008A15E4" w:rsidTr="008569DC">
        <w:trPr>
          <w:trHeight w:val="1206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 </w:t>
            </w: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</w:t>
            </w:r>
            <w:proofErr w:type="gramEnd"/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/п</w:t>
            </w:r>
          </w:p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Наименование Изделия (Приказ Минтруда России от 13.02.2018 г. № 86н)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Позиция по КТРУ,</w:t>
            </w:r>
          </w:p>
          <w:p w:rsidR="008569DC" w:rsidRPr="008A15E4" w:rsidRDefault="008569DC" w:rsidP="005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Код по ОКПД</w:t>
            </w:r>
            <w:proofErr w:type="gramStart"/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Характеристики Изделия (неизменяемые)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Кол-во  товара (объем работы, услуги)</w:t>
            </w:r>
          </w:p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/шт.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Гарантийный срок, мес.</w:t>
            </w:r>
          </w:p>
        </w:tc>
      </w:tr>
      <w:tr w:rsidR="008569DC" w:rsidRPr="008A15E4" w:rsidTr="008569DC">
        <w:trPr>
          <w:trHeight w:val="267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i/>
                <w:iCs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B74A06" w:rsidP="00527E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8569DC" w:rsidRPr="008A15E4" w:rsidTr="008569DC">
        <w:trPr>
          <w:trHeight w:val="1651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8A15E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3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Аппарат на голеностопный сустав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Комплектующие: гильза голени, башмачок, внутренняя полость гильзы выклеена подкладкой, шины с голеностопными шарнирами, с возможностью ограничения движения, полукольца. 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по слепку и по индивидуальным обмерам. 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Тип изделия: постоянный.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гильзы голени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башмачка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внутренней вклейки - кожа или вспененный </w:t>
            </w:r>
            <w:proofErr w:type="spellStart"/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пенополиэтилен</w:t>
            </w:r>
            <w:proofErr w:type="spellEnd"/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медицинским показаниям)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шин и полуколец - нержавеющая сталь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1651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33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Аппарат на голеностопный сустав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8A15E4" w:rsidRDefault="008569DC" w:rsidP="00A767B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Комплектующие: гильза голени, башмачок, внутренняя полость гильзы выклеена подкладкой, шины с голеностопными шарнирами, с возможностью ограничения движения, полукольца. 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по слепку и по индивидуальным обмерам. 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Тип изделия: постоянный.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гильзы голени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башмачка - 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внутренней вклейки - кожа или вспененный </w:t>
            </w:r>
            <w:proofErr w:type="spellStart"/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пенополиэтилен</w:t>
            </w:r>
            <w:proofErr w:type="spellEnd"/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медицинским показаниям)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шин и полуколец - нержавеющая сталь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  <w:proofErr w:type="gramStart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Аппарат на голеностопный </w:t>
            </w: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 коленный суставы</w:t>
            </w:r>
            <w:proofErr w:type="gramEnd"/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Default="008569DC" w:rsidP="00527E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Default="008569DC" w:rsidP="00527E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Аппарат состо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ит</w:t>
            </w: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из гильз бедра и голени и башмачка. </w:t>
            </w:r>
            <w:proofErr w:type="gram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Предназначен</w:t>
            </w:r>
            <w:proofErr w:type="gram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для реабилитации </w:t>
            </w: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опорно-двигательных функций нижних конечностей у больных с различными по тяжести и распространенности вялыми спастическими параличами мышц нижней конечности.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Аппарат обеспечива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ет</w:t>
            </w: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опороспособнось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пораженной нижней конечности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сегментов нижней конечности.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Аппарат может быть с замковым или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беззамковым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коленным шарниром (по медицинскими показаниям), правого и левого исполнения.</w:t>
            </w:r>
            <w:proofErr w:type="gramEnd"/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гильз -  листовой термопластичный пластик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внутренней вклейки - вспененный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пенополиэтилен</w:t>
            </w:r>
            <w:proofErr w:type="spellEnd"/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шин, голеностопных и коленных шарниров - нержавеющая сталь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стельки - металл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2442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коленный сустав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Комплектующие гильзы  бедра и голени,  внутренняя полость гильз выклеена подкладкой, шины с коленными шарнирами, с замком или без замка (по медицинским показаниям); полукольца.  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гильз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внутренней вклейки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кожа или </w:t>
            </w:r>
            <w:proofErr w:type="gram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вспененный</w:t>
            </w:r>
            <w:proofErr w:type="gram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пенополиэтилен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шин и полуколец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нержавеющая сталь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2442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коленный сустав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A767BC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Комплектующие гильзы  бедра и голени,  внутренняя полость гильз выклеена подкладкой, шины с коленными шарнирами, с замком или без замка (по медицинским показаниям); полукольца.  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гильз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внутренней вклейки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кожа или </w:t>
            </w:r>
            <w:proofErr w:type="gram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вспененный</w:t>
            </w:r>
            <w:proofErr w:type="gram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пенополиэтилен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(по медицинским показаниям)</w:t>
            </w:r>
          </w:p>
          <w:p w:rsidR="008569DC" w:rsidRPr="00745901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шин и полуколец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нержавеющая сталь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Комплектующие: башмачок, гильзы бедра и голени, внутренняя полость гильз выклеена подкладкой, стелька, шины, полукольца, голеностопные и коленные шарниры, с замком или без замка (по медицинским показаниям), по медицинским показаниям допускается использование металлического </w:t>
            </w:r>
            <w:proofErr w:type="spellStart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вертлуга</w:t>
            </w:r>
            <w:proofErr w:type="spellEnd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. 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гильз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внутренней вклейки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кожа или </w:t>
            </w:r>
            <w:proofErr w:type="gramStart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вспененный</w:t>
            </w:r>
            <w:proofErr w:type="gramEnd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пенополиэтилен</w:t>
            </w:r>
            <w:proofErr w:type="spellEnd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(по медицинским показаниям)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шин, полуколец, голеностопных и коленных шарниров, полуколец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нержавеющая сталь</w:t>
            </w:r>
          </w:p>
          <w:p w:rsidR="008569DC" w:rsidRPr="008A15E4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стельки - металл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A767BC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Комплектующие: башмачок, гильзы бедра и голени, внутренняя полость гильз выклеена подкладкой, стелька, шины, полукольца, голеностопные и коленные шарниры, с замком или без замка (по медицинским показаниям), по медицинским показаниям допускается использование металлического </w:t>
            </w:r>
            <w:proofErr w:type="spellStart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вертлуга</w:t>
            </w:r>
            <w:proofErr w:type="spellEnd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. 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гильз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Кожа или литьевой слоистый пластик на основе акриловых смол или листовой термопластичный пластик (по медицинским показаниям)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внутренней вклейки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кожа или </w:t>
            </w:r>
            <w:proofErr w:type="gramStart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вспененный</w:t>
            </w:r>
            <w:proofErr w:type="gramEnd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пенополиэтилен</w:t>
            </w:r>
            <w:proofErr w:type="spellEnd"/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(по медицинским показаниям)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шин, полуколец, голеностопных и коленных шарниров, полуколец</w:t>
            </w:r>
          </w:p>
          <w:p w:rsidR="008569DC" w:rsidRPr="00745901" w:rsidRDefault="008569DC" w:rsidP="00527E2F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нержавеющая сталь</w:t>
            </w:r>
          </w:p>
          <w:p w:rsidR="008569DC" w:rsidRPr="008A15E4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стельки - металл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Аппарат на всю ногу облегченный с </w:t>
            </w:r>
            <w:proofErr w:type="gram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улучшенными</w:t>
            </w:r>
            <w:proofErr w:type="gram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харатеристиками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, фиксирующий, разгружающий. Комплектующие: гильза несущая, голеностопные и коленные шарниры с замком или без замка (по медицинским показаниям). Изготовление по слепку и по индивидуальным обмерам.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Тип изделия: постоянный.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гильзы - литьевой слоистый пластик на основе акриловых смол</w:t>
            </w:r>
          </w:p>
          <w:p w:rsidR="008569DC" w:rsidRPr="008A15E4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голеностопных и коленных шарниров - металл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995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всю ногу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Аппарат на всю ногу облегченный с </w:t>
            </w:r>
            <w:proofErr w:type="gram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улучшенными</w:t>
            </w:r>
            <w:proofErr w:type="gram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харатеристиками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, фиксирующий, разгружающий. Комплектующие: гильза несущая, голеностопные и коленные шарниры с </w:t>
            </w: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замком или без замка (по медицинским показаниям). 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гильз </w:t>
            </w:r>
            <w:proofErr w:type="gram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-у</w:t>
            </w:r>
            <w:proofErr w:type="gram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глепластик со смягчающими вспененными материалами</w:t>
            </w:r>
          </w:p>
          <w:p w:rsidR="008569DC" w:rsidRPr="008A15E4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голеностопных и коленных шарниров - металл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558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нижние конечности и туловище (</w:t>
            </w:r>
            <w:proofErr w:type="spellStart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ортез</w:t>
            </w:r>
            <w:proofErr w:type="spellEnd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8A15E4" w:rsidRDefault="008569DC" w:rsidP="008569DC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Аппарат на нижние конечности и туловище предназначен для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ортезирования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Получателей с нарушением функций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опорно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¬-двигательного аппарата различной тяжести.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Аппарат на нижние конечности и туловище должен состоять из двух аппаратов (правый и левый) на всю нижнюю конечность, изготовленные по индивидуальным слепкам, которые соединяются с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полукорсетом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с помощью тазобедренных шарниров. Крепление аппаратов и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полукорсета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должно осуществляться при помощи контактных застёжек по типу «контакт».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материал гильз -  листовой термопластичный пластик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материал внутренней вклейки вспененный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пенополиэтилен</w:t>
            </w:r>
            <w:proofErr w:type="spellEnd"/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материал шин, тазобедренных, голеностопных и коленных шарниров - нержавеющая сталь</w:t>
            </w:r>
          </w:p>
          <w:p w:rsidR="008569DC" w:rsidRPr="008A15E4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материал стельки - металл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558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 на нижние конечности и туловище (</w:t>
            </w:r>
            <w:proofErr w:type="spellStart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ортез</w:t>
            </w:r>
            <w:proofErr w:type="spellEnd"/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8A15E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8A15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Default="008569DC" w:rsidP="00527E2F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8A15E4" w:rsidRDefault="008569DC" w:rsidP="008569DC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Аппарат на нижние конечности и туловище предназначен для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ортезирования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Получателей с нарушением функций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опорно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¬-двигательного аппарата различной тяжести.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Аппарат на нижние конечности и туловище должен состоять из двух аппаратов (правый и левый) на всю нижнюю конечность, изготовленные по индивидуальным слепкам, которые соединяются с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полукорсетом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с помощью тазобедренных шарниров. Крепление аппаратов и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полукорсета</w:t>
            </w:r>
            <w:proofErr w:type="spellEnd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должно осуществляться при помощи контактных застёжек по типу «контакт».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Изготовление по слепку и по индивидуальным обмерам. Тип изделия: постоянный.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материал гильз -  листовой термопластичный пластик</w:t>
            </w:r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материал внутренней вклейки вспененный </w:t>
            </w:r>
            <w:proofErr w:type="spellStart"/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пенополиэтилен</w:t>
            </w:r>
            <w:proofErr w:type="spellEnd"/>
          </w:p>
          <w:p w:rsidR="008569DC" w:rsidRPr="00745901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материал шин, тазобедренных, голеностопных и коленных шарниров - нержавеющая сталь</w:t>
            </w:r>
          </w:p>
          <w:p w:rsidR="008569DC" w:rsidRPr="008A15E4" w:rsidRDefault="008569DC" w:rsidP="00527E2F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4590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материал стельки - металл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558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A767BC" w:rsidRDefault="008569DC" w:rsidP="00527E2F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Аппарат на тазобедренный сустав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767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A767BC" w:rsidRDefault="008569DC" w:rsidP="00527E2F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lastRenderedPageBreak/>
              <w:t xml:space="preserve">Аппарат изготавливается методом вакуумной формовки по индивидуальному гипсовому слепку из термопластичных материалов и представлять собой 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lastRenderedPageBreak/>
              <w:t>конструкцию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состоящую из двух гильз. Гильзы бедра и тазобедренного сустава  соединяются  между собой посредством  шин с  одноосевыми или полицентрическими шарнирами с  замком или без. Для более прочной фиксации конечности </w:t>
            </w:r>
            <w:proofErr w:type="spell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ортез</w:t>
            </w:r>
            <w:proofErr w:type="spell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может быть 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снабжен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крышками, расположенными по передней поверхности бедра, внутренняя поверхность гильз может быть отделана мягкими вставками (в зависимости от индивидуальных особенностей пациента). Крепление аппарата должно осуществляться с помощью застежек из контактной ленты. 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Показан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после переломов и операций в области костей таза и тазобедренного сустава, при асептическом некрозе головки бедренной кости, артрозе тазобедренного сустава. Аппарат обеспечивает наружную фиксацию костей таза и  тазобедренного сустава с дозированной амплитудой движений в сагиттальной плоскости, при необходимости – для этапной разработки контрактур тазобедренного сустава.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569DC" w:rsidRPr="008A15E4" w:rsidTr="008569DC">
        <w:trPr>
          <w:trHeight w:val="558"/>
        </w:trPr>
        <w:tc>
          <w:tcPr>
            <w:tcW w:w="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Default="008569DC" w:rsidP="00527E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A767BC" w:rsidRDefault="008569DC" w:rsidP="00527E2F">
            <w:pPr>
              <w:widowControl w:val="0"/>
              <w:suppressAutoHyphens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Аппарат на тазобедренный сустав</w:t>
            </w:r>
          </w:p>
        </w:tc>
        <w:tc>
          <w:tcPr>
            <w:tcW w:w="1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</w:t>
            </w:r>
          </w:p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</w:p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569DC" w:rsidRPr="00A767BC" w:rsidRDefault="008569DC" w:rsidP="00527E2F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A767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  <w:t>32.50.22.129</w:t>
            </w:r>
          </w:p>
          <w:p w:rsidR="008569DC" w:rsidRPr="00A767BC" w:rsidRDefault="008569DC" w:rsidP="00A767BC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A767BC" w:rsidRDefault="008569DC" w:rsidP="00527E2F">
            <w:pPr>
              <w:widowControl w:val="0"/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</w:pPr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Аппарат изготавливается методом вакуумной формовки по индивидуальному гипсовому слепку из термопластичных материалов и представлять собой 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конструкцию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состоящую из двух гильз. Гильзы бедра и тазобедренного сустава  соединяются  между собой посредством  шин с  одноосевыми или полицентрическими шарнирами с  замком или без. Для более прочной фиксации конечности </w:t>
            </w:r>
            <w:proofErr w:type="spell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ортез</w:t>
            </w:r>
            <w:proofErr w:type="spell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может быть 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снабжен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крышками, расположенными по передней поверхности бедра, внутренняя поверхность гильз может быть отделана мягкими вставками (в зависимости от индивидуальных особенностей пациента). Крепление аппарата должно осуществляться с помощью застежек из контактной ленты. </w:t>
            </w:r>
            <w:proofErr w:type="gramStart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>Показан</w:t>
            </w:r>
            <w:proofErr w:type="gramEnd"/>
            <w:r w:rsidRPr="00A767B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 w:bidi="ru-RU"/>
              </w:rPr>
              <w:t xml:space="preserve"> после переломов и операций в области костей таза и тазобедренного сустава, при асептическом некрозе головки бедренной кости, артрозе тазобедренного сустава. Аппарат обеспечивает наружную фиксацию костей таза и  тазобедренного сустава с дозированной амплитудой движений в сагиттальной плоскости, при необходимости – для этапной разработки контрактур тазобедренного сустава.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DC" w:rsidRPr="008A15E4" w:rsidRDefault="008569DC" w:rsidP="00527E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15E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</w:tbl>
    <w:p w:rsidR="00D54E1C" w:rsidRDefault="00D54E1C" w:rsidP="00AA4F0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lastRenderedPageBreak/>
        <w:t>В состав работ по изготовлению и обеспечению техническими средствами реабилитации – аппаратами ортопедическими (далее – ТСР) должны входить: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изготовление ТСР по индивидуальным обмерам;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примерка и подгонка ТСР (при необходимости);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обучение Получателей пользованию ТСР, уходу за ним и его хранения;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 выдача ТСР Получателям;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-обеспечение Получателей гарантийным талоном на выданное ТСР и </w:t>
      </w:r>
      <w:proofErr w:type="gramStart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информировании</w:t>
      </w:r>
      <w:proofErr w:type="gramEnd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об условиях проведения гарантийного обслуживания;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Выполнение работ по </w:t>
      </w:r>
      <w:proofErr w:type="spellStart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ортезированию</w:t>
      </w:r>
      <w:proofErr w:type="spellEnd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должно соответствовать назначениям </w:t>
      </w:r>
      <w:proofErr w:type="gramStart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медико-социальной</w:t>
      </w:r>
      <w:proofErr w:type="gramEnd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экспертизы. При носке технического средства реабилитации Получатели не должны испытывать болей, избыточного давления, обуславливающих нарушения кровообращения.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Выполнение работ по </w:t>
      </w:r>
      <w:proofErr w:type="spellStart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ортезированию</w:t>
      </w:r>
      <w:proofErr w:type="spellEnd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должно быть направлено на изготовление технических устройств, к которым относятся аппараты ортопедические,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сумочно</w:t>
      </w:r>
      <w:proofErr w:type="spellEnd"/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Получателями,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организма.</w:t>
      </w:r>
    </w:p>
    <w:p w:rsidR="00A767BC" w:rsidRPr="00A767BC" w:rsidRDefault="00A767BC" w:rsidP="00A7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Проведение работ по обеспечению аппаратами ортопедическими должно осуществляться при наличии действующих деклараций или сертификатов о соответствии на техническое средство реабилитации.</w:t>
      </w:r>
    </w:p>
    <w:p w:rsidR="00CC32D8" w:rsidRDefault="00A767BC" w:rsidP="00B5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A767BC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Работы по обеспечению аппаратами ортопедическими следует считать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аппаратами ортопедическими должны быть выполнены с надлежащим качеством и в установленные сроки</w:t>
      </w:r>
    </w:p>
    <w:permEnd w:id="1833838496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6E6D09" w:rsidRPr="006E6D09" w:rsidRDefault="0047798A" w:rsidP="006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086131275" w:edGrp="everyone"/>
      <w:proofErr w:type="gramStart"/>
      <w:r w:rsidR="006E6D09" w:rsidRPr="006E6D09">
        <w:rPr>
          <w:rFonts w:ascii="Times New Roman" w:hAnsi="Times New Roman" w:cs="Times New Roman"/>
          <w:bCs/>
        </w:rPr>
        <w:t>Изделия  должны быть свободны от прав третьих лиц, должны быть новыми (не бывшими ранее в употреблении, в ремонте, в том числе не быть восстановленными, у которых не была осуществлена замена составных частей,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</w:t>
      </w:r>
      <w:proofErr w:type="gramEnd"/>
      <w:r w:rsidR="006E6D09" w:rsidRPr="006E6D09">
        <w:rPr>
          <w:rFonts w:ascii="Times New Roman" w:hAnsi="Times New Roman" w:cs="Times New Roman"/>
          <w:bCs/>
        </w:rPr>
        <w:t xml:space="preserve"> Изделий в обычных условиях. На Изделиях не должно быть механических повреждений.</w:t>
      </w:r>
    </w:p>
    <w:p w:rsidR="006E6D09" w:rsidRPr="006E6D09" w:rsidRDefault="006E6D09" w:rsidP="006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6D09">
        <w:rPr>
          <w:rFonts w:ascii="Times New Roman" w:hAnsi="Times New Roman" w:cs="Times New Roman"/>
          <w:bCs/>
        </w:rPr>
        <w:t>Исполнитель должен гарантировать, что Изделия соответствуют стандартам на данные виды Изделий, а также требованиям Описания объекта закупки</w:t>
      </w:r>
    </w:p>
    <w:p w:rsidR="006E6D09" w:rsidRPr="006E6D09" w:rsidRDefault="006E6D09" w:rsidP="006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6D09">
        <w:rPr>
          <w:rFonts w:ascii="Times New Roman" w:hAnsi="Times New Roman" w:cs="Times New Roman"/>
          <w:bCs/>
        </w:rPr>
        <w:t>Исполнитель должен гарантировать, что Изделия соответствуют требованиям санитарно-эпидемиологической безопасности. Материалы, применяемые для изготовления Изделия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47798A" w:rsidRPr="0047798A" w:rsidRDefault="006E6D09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09">
        <w:rPr>
          <w:rFonts w:ascii="Times New Roman" w:hAnsi="Times New Roman" w:cs="Times New Roman"/>
          <w:bCs/>
        </w:rPr>
        <w:t>При передаче Изделия Получателю Исполнитель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</w:t>
      </w:r>
      <w:proofErr w:type="gramStart"/>
      <w:r w:rsidRPr="006E6D09">
        <w:rPr>
          <w:rFonts w:ascii="Times New Roman" w:hAnsi="Times New Roman" w:cs="Times New Roman"/>
          <w:bCs/>
        </w:rPr>
        <w:t>.</w:t>
      </w:r>
      <w:r w:rsidR="00862986" w:rsidRPr="00862986">
        <w:rPr>
          <w:rFonts w:ascii="Times New Roman" w:hAnsi="Times New Roman" w:cs="Times New Roman"/>
          <w:bCs/>
        </w:rPr>
        <w:t>.</w:t>
      </w:r>
      <w:permEnd w:id="1086131275"/>
      <w:proofErr w:type="gramEnd"/>
    </w:p>
    <w:p w:rsidR="006E6D09" w:rsidRPr="006E6D09" w:rsidRDefault="0047798A" w:rsidP="006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593515135" w:edGrp="everyone"/>
      <w:r w:rsidR="006E6D09" w:rsidRPr="006E6D09">
        <w:rPr>
          <w:rFonts w:ascii="Times New Roman" w:hAnsi="Times New Roman" w:cs="Times New Roman"/>
          <w:bCs/>
        </w:rPr>
        <w:t>Исполнитель должен установить на Изделия гарантийный срок, равный указанному в таблице № 1, с момента передачи его Получателю. Гарантийный срок не распространяется на случаи нарушения Получателем условий и требований к эксплуатации Изделия.</w:t>
      </w:r>
    </w:p>
    <w:p w:rsidR="006E6D09" w:rsidRPr="006E6D09" w:rsidRDefault="006E6D09" w:rsidP="006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E6D09">
        <w:rPr>
          <w:rFonts w:ascii="Times New Roman" w:hAnsi="Times New Roman" w:cs="Times New Roman"/>
          <w:bCs/>
        </w:rPr>
        <w:t xml:space="preserve"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</w:t>
      </w:r>
      <w:r w:rsidRPr="006E6D09">
        <w:rPr>
          <w:rFonts w:ascii="Times New Roman" w:hAnsi="Times New Roman" w:cs="Times New Roman"/>
          <w:bCs/>
        </w:rPr>
        <w:lastRenderedPageBreak/>
        <w:t>дефектов), Исполнителем должен быть обеспечен гарантийный ремонт (если Изделие подлежит гарантийному ремонту) либо осуществлена его замена на аналогичное Изделие надлежащего качества.</w:t>
      </w:r>
      <w:proofErr w:type="gramEnd"/>
    </w:p>
    <w:p w:rsidR="006E6D09" w:rsidRPr="006E6D09" w:rsidRDefault="006E6D09" w:rsidP="006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6D09">
        <w:rPr>
          <w:rFonts w:ascii="Times New Roman" w:hAnsi="Times New Roman" w:cs="Times New Roman"/>
          <w:bCs/>
        </w:rPr>
        <w:t>Срок выполнения гарантийного ремонта или осуществления замены Изделия не должен превышать 15 рабочих дней со дня обращения Получателя.</w:t>
      </w:r>
    </w:p>
    <w:p w:rsidR="006E6D09" w:rsidRPr="006E6D09" w:rsidRDefault="006E6D09" w:rsidP="006E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6D09">
        <w:rPr>
          <w:rFonts w:ascii="Times New Roman" w:hAnsi="Times New Roman" w:cs="Times New Roman"/>
          <w:bCs/>
        </w:rPr>
        <w:t>При передаче Получателем Изделия на гарантийный ремонт или для замены Исполнитель выдает Получателю документ, подтверждающий получение Изделия Исполнителем.</w:t>
      </w:r>
    </w:p>
    <w:p w:rsidR="0047798A" w:rsidRPr="0047798A" w:rsidRDefault="006E6D09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09">
        <w:rPr>
          <w:rFonts w:ascii="Times New Roman" w:hAnsi="Times New Roman" w:cs="Times New Roman"/>
          <w:bCs/>
        </w:rPr>
        <w:t>Исполнитель должен обеспечить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</w:t>
      </w:r>
      <w:proofErr w:type="gramStart"/>
      <w:r w:rsidRPr="006E6D09">
        <w:rPr>
          <w:rFonts w:ascii="Times New Roman" w:hAnsi="Times New Roman" w:cs="Times New Roman"/>
          <w:bCs/>
        </w:rPr>
        <w:t>.</w:t>
      </w:r>
      <w:r w:rsidR="00CC32D8" w:rsidRPr="00CC32D8">
        <w:rPr>
          <w:rFonts w:ascii="Times New Roman" w:hAnsi="Times New Roman" w:cs="Times New Roman"/>
          <w:bCs/>
        </w:rPr>
        <w:t>.</w:t>
      </w:r>
      <w:permEnd w:id="593515135"/>
      <w:proofErr w:type="gramEnd"/>
    </w:p>
    <w:p w:rsidR="00E726DD" w:rsidRDefault="002A7647" w:rsidP="00E726DD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098148605" w:edGrp="everyone"/>
    </w:p>
    <w:p w:rsidR="002A7647" w:rsidRPr="00831FBE" w:rsidRDefault="00A767BC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7BC">
        <w:rPr>
          <w:rFonts w:ascii="Times New Roman" w:hAnsi="Times New Roman" w:cs="Times New Roman"/>
          <w:bCs/>
          <w:iCs/>
        </w:rPr>
        <w:t>Упаковка аппаратов ортопедических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</w:t>
      </w:r>
      <w:proofErr w:type="gramStart"/>
      <w:r w:rsidR="006E6D09" w:rsidRPr="006E6D09">
        <w:rPr>
          <w:rFonts w:ascii="Times New Roman" w:hAnsi="Times New Roman" w:cs="Times New Roman"/>
          <w:bCs/>
        </w:rPr>
        <w:t>.</w:t>
      </w:r>
      <w:r w:rsidR="00862986" w:rsidRPr="00862986">
        <w:rPr>
          <w:rFonts w:ascii="Times New Roman" w:hAnsi="Times New Roman" w:cs="Times New Roman"/>
          <w:bCs/>
        </w:rPr>
        <w:t>.</w:t>
      </w:r>
      <w:permEnd w:id="1098148605"/>
      <w:proofErr w:type="gramEnd"/>
    </w:p>
    <w:p w:rsidR="00982E58" w:rsidRDefault="008569DC" w:rsidP="008569DC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981286250" w:edGrp="everyone"/>
    </w:p>
    <w:p w:rsidR="00A65933" w:rsidRPr="00D54E1C" w:rsidRDefault="00A65933" w:rsidP="00A65933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D54E1C">
        <w:rPr>
          <w:rFonts w:ascii="Times New Roman" w:hAnsi="Times New Roman" w:cs="Times New Roman"/>
          <w:bCs/>
          <w:sz w:val="21"/>
          <w:szCs w:val="21"/>
        </w:rPr>
        <w:t>Количество —  невозможно определить объем выполняемых работ.</w:t>
      </w:r>
    </w:p>
    <w:p w:rsidR="00FF7109" w:rsidRPr="00FF7109" w:rsidRDefault="00FF7109" w:rsidP="00FF710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FF7109">
        <w:rPr>
          <w:rFonts w:ascii="Times New Roman" w:hAnsi="Times New Roman" w:cs="Times New Roman"/>
          <w:bCs/>
          <w:iCs/>
          <w:sz w:val="21"/>
          <w:szCs w:val="21"/>
        </w:rPr>
        <w:t>Для приема Получателя на территории г. Брянска и Брянской области организовать пункт (пункты) приема, оборудованны</w:t>
      </w:r>
      <w:proofErr w:type="gramStart"/>
      <w:r w:rsidRPr="00FF7109">
        <w:rPr>
          <w:rFonts w:ascii="Times New Roman" w:hAnsi="Times New Roman" w:cs="Times New Roman"/>
          <w:bCs/>
          <w:iCs/>
          <w:sz w:val="21"/>
          <w:szCs w:val="21"/>
        </w:rPr>
        <w:t>й(</w:t>
      </w:r>
      <w:proofErr w:type="gramEnd"/>
      <w:r w:rsidRPr="00FF7109">
        <w:rPr>
          <w:rFonts w:ascii="Times New Roman" w:hAnsi="Times New Roman" w:cs="Times New Roman"/>
          <w:bCs/>
          <w:iCs/>
          <w:sz w:val="21"/>
          <w:szCs w:val="21"/>
        </w:rPr>
        <w:t>е) в соответствии с Федеральным законом от 24.11.1995 № 181-ФЗ «О социальной защите инвалидов в Российской Федерации» (программа «Доступная среда).</w:t>
      </w:r>
    </w:p>
    <w:p w:rsidR="00FF7109" w:rsidRPr="00FF7109" w:rsidRDefault="00FF7109" w:rsidP="00FF710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FF7109">
        <w:rPr>
          <w:rFonts w:ascii="Times New Roman" w:hAnsi="Times New Roman" w:cs="Times New Roman"/>
          <w:bCs/>
          <w:iCs/>
          <w:sz w:val="21"/>
          <w:szCs w:val="21"/>
        </w:rPr>
        <w:t>Осуществлять прием Получателя по всем вопросам, связанным с изготовлением и выдачей Изделий по месту нахождения пункта (пунктов) приема не менее 5 (пяти) дней в неделю.</w:t>
      </w:r>
    </w:p>
    <w:p w:rsidR="00FF7109" w:rsidRPr="00FF7109" w:rsidRDefault="00FF7109" w:rsidP="00FF710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FF7109">
        <w:rPr>
          <w:rFonts w:ascii="Times New Roman" w:hAnsi="Times New Roman" w:cs="Times New Roman"/>
          <w:bCs/>
          <w:iCs/>
          <w:sz w:val="21"/>
          <w:szCs w:val="21"/>
        </w:rPr>
        <w:t>Предоставить Получателям право выбора места снятия мерок, примерки и получения изделий (по месту жительства либо в пункте приема).</w:t>
      </w:r>
    </w:p>
    <w:p w:rsidR="00FF7109" w:rsidRPr="00FF7109" w:rsidRDefault="00FF7109" w:rsidP="00FF710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FF7109">
        <w:rPr>
          <w:rFonts w:ascii="Times New Roman" w:hAnsi="Times New Roman" w:cs="Times New Roman"/>
          <w:bCs/>
          <w:iCs/>
          <w:sz w:val="21"/>
          <w:szCs w:val="21"/>
        </w:rPr>
        <w:t xml:space="preserve">Место выполнения работ: Российская Федерация. </w:t>
      </w:r>
    </w:p>
    <w:p w:rsidR="002A7647" w:rsidRPr="004003A0" w:rsidRDefault="00FF7109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109">
        <w:rPr>
          <w:rFonts w:ascii="Times New Roman" w:hAnsi="Times New Roman" w:cs="Times New Roman"/>
          <w:bCs/>
          <w:iCs/>
          <w:sz w:val="21"/>
          <w:szCs w:val="21"/>
        </w:rPr>
        <w:t>Место выполнения работ по изготовлению Изделия определяется исполнителем самостоятельно</w:t>
      </w:r>
      <w:proofErr w:type="gramStart"/>
      <w:r w:rsidRPr="00FF7109">
        <w:rPr>
          <w:rFonts w:ascii="Times New Roman" w:hAnsi="Times New Roman" w:cs="Times New Roman"/>
          <w:bCs/>
          <w:iCs/>
          <w:sz w:val="21"/>
          <w:szCs w:val="21"/>
        </w:rPr>
        <w:t>.</w:t>
      </w:r>
      <w:r w:rsidR="007543FD" w:rsidRPr="007543FD">
        <w:rPr>
          <w:rFonts w:ascii="Times New Roman" w:hAnsi="Times New Roman" w:cs="Times New Roman"/>
          <w:bCs/>
          <w:sz w:val="24"/>
          <w:szCs w:val="24"/>
        </w:rPr>
        <w:t>.</w:t>
      </w:r>
      <w:permEnd w:id="981286250"/>
      <w:proofErr w:type="gramEnd"/>
    </w:p>
    <w:p w:rsidR="00FF7109" w:rsidRPr="00FF7109" w:rsidRDefault="008569DC" w:rsidP="00FF710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82187571" w:edGrp="everyone"/>
      <w:r w:rsidR="00FF7109" w:rsidRPr="00FF7109">
        <w:rPr>
          <w:rFonts w:ascii="Times New Roman" w:hAnsi="Times New Roman" w:cs="Times New Roman"/>
          <w:bCs/>
          <w:iCs/>
          <w:sz w:val="21"/>
          <w:szCs w:val="21"/>
        </w:rPr>
        <w:t xml:space="preserve">Срок выполнения работ по Контракту, включая обеспечение Получателя Изделием: </w:t>
      </w:r>
      <w:proofErr w:type="gramStart"/>
      <w:r w:rsidR="00FF7109" w:rsidRPr="00FF7109">
        <w:rPr>
          <w:rFonts w:ascii="Times New Roman" w:hAnsi="Times New Roman" w:cs="Times New Roman"/>
          <w:bCs/>
          <w:iCs/>
          <w:sz w:val="21"/>
          <w:szCs w:val="21"/>
        </w:rPr>
        <w:t>с даты получения</w:t>
      </w:r>
      <w:proofErr w:type="gramEnd"/>
      <w:r w:rsidR="00FF7109" w:rsidRPr="00FF7109">
        <w:rPr>
          <w:rFonts w:ascii="Times New Roman" w:hAnsi="Times New Roman" w:cs="Times New Roman"/>
          <w:bCs/>
          <w:iCs/>
          <w:sz w:val="21"/>
          <w:szCs w:val="21"/>
        </w:rPr>
        <w:t xml:space="preserve"> Исполнителем от Заказчика Реестров Получателей, которым Заказчиком выданы Направления на обеспечение Изделием, по </w:t>
      </w:r>
      <w:r w:rsidR="00C35415">
        <w:rPr>
          <w:rFonts w:ascii="Times New Roman" w:hAnsi="Times New Roman" w:cs="Times New Roman"/>
          <w:bCs/>
          <w:iCs/>
          <w:sz w:val="21"/>
          <w:szCs w:val="21"/>
        </w:rPr>
        <w:t>21.10</w:t>
      </w:r>
      <w:r w:rsidR="00FF7109" w:rsidRPr="00FF7109">
        <w:rPr>
          <w:rFonts w:ascii="Times New Roman" w:hAnsi="Times New Roman" w:cs="Times New Roman"/>
          <w:bCs/>
          <w:iCs/>
          <w:sz w:val="21"/>
          <w:szCs w:val="21"/>
        </w:rPr>
        <w:t xml:space="preserve">.2024. </w:t>
      </w:r>
    </w:p>
    <w:p w:rsidR="002A7647" w:rsidRDefault="00FF7109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109">
        <w:rPr>
          <w:rFonts w:ascii="Times New Roman" w:hAnsi="Times New Roman" w:cs="Times New Roman"/>
          <w:bCs/>
          <w:iCs/>
          <w:sz w:val="21"/>
          <w:szCs w:val="21"/>
        </w:rPr>
        <w:t xml:space="preserve">Срок обеспечения Получателя Изделием не позднее 30 (тридцати) календарных дней с момента получения направления Исполнителем от Получателя. Направления принимаются Исполнителем не позднее </w:t>
      </w:r>
      <w:r w:rsidR="00C35415">
        <w:rPr>
          <w:rFonts w:ascii="Times New Roman" w:hAnsi="Times New Roman" w:cs="Times New Roman"/>
          <w:bCs/>
          <w:iCs/>
          <w:sz w:val="21"/>
          <w:szCs w:val="21"/>
        </w:rPr>
        <w:t>20.09</w:t>
      </w:r>
      <w:r w:rsidRPr="00FF7109">
        <w:rPr>
          <w:rFonts w:ascii="Times New Roman" w:hAnsi="Times New Roman" w:cs="Times New Roman"/>
          <w:bCs/>
          <w:iCs/>
          <w:sz w:val="21"/>
          <w:szCs w:val="21"/>
        </w:rPr>
        <w:t xml:space="preserve">.2024. В случае приема Направлений после указанного срока, Исполнитель принимает на себя обязательство по обеспечению Получателя Изделием в срок не позднее </w:t>
      </w:r>
      <w:r w:rsidR="004100FA">
        <w:rPr>
          <w:rFonts w:ascii="Times New Roman" w:hAnsi="Times New Roman" w:cs="Times New Roman"/>
          <w:bCs/>
          <w:iCs/>
          <w:sz w:val="21"/>
          <w:szCs w:val="21"/>
        </w:rPr>
        <w:t>21.10</w:t>
      </w:r>
      <w:r w:rsidRPr="00FF7109">
        <w:rPr>
          <w:rFonts w:ascii="Times New Roman" w:hAnsi="Times New Roman" w:cs="Times New Roman"/>
          <w:bCs/>
          <w:iCs/>
          <w:sz w:val="21"/>
          <w:szCs w:val="21"/>
        </w:rPr>
        <w:t>.2024</w:t>
      </w:r>
      <w:r w:rsidR="006E6D09" w:rsidRPr="006E6D09">
        <w:rPr>
          <w:rFonts w:ascii="Times New Roman" w:hAnsi="Times New Roman" w:cs="Times New Roman"/>
          <w:bCs/>
          <w:sz w:val="21"/>
          <w:szCs w:val="21"/>
        </w:rPr>
        <w:t>.</w:t>
      </w:r>
      <w:permEnd w:id="82187571"/>
    </w:p>
    <w:sectPr w:rsidR="002A76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3" w:rsidRDefault="00BE46B3" w:rsidP="001A27AB">
      <w:pPr>
        <w:spacing w:after="0" w:line="240" w:lineRule="auto"/>
      </w:pPr>
      <w:r>
        <w:separator/>
      </w:r>
    </w:p>
  </w:endnote>
  <w:endnote w:type="continuationSeparator" w:id="0">
    <w:p w:rsidR="00BE46B3" w:rsidRDefault="00BE46B3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E726DD" w:rsidRDefault="00E726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06">
          <w:rPr>
            <w:noProof/>
          </w:rPr>
          <w:t>1</w:t>
        </w:r>
        <w:r>
          <w:fldChar w:fldCharType="end"/>
        </w:r>
      </w:p>
    </w:sdtContent>
  </w:sdt>
  <w:p w:rsidR="00E726DD" w:rsidRDefault="00E726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3" w:rsidRDefault="00BE46B3" w:rsidP="001A27AB">
      <w:pPr>
        <w:spacing w:after="0" w:line="240" w:lineRule="auto"/>
      </w:pPr>
      <w:r>
        <w:separator/>
      </w:r>
    </w:p>
  </w:footnote>
  <w:footnote w:type="continuationSeparator" w:id="0">
    <w:p w:rsidR="00BE46B3" w:rsidRDefault="00BE46B3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60B"/>
    <w:multiLevelType w:val="hybridMultilevel"/>
    <w:tmpl w:val="350441DA"/>
    <w:lvl w:ilvl="0" w:tplc="5314BDF6">
      <w:start w:val="1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">
    <w:nsid w:val="18FC42B7"/>
    <w:multiLevelType w:val="singleLevel"/>
    <w:tmpl w:val="74E60DF2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">
    <w:nsid w:val="3E3405DC"/>
    <w:multiLevelType w:val="hybridMultilevel"/>
    <w:tmpl w:val="E62CAED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AF65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30827"/>
    <w:rsid w:val="00035237"/>
    <w:rsid w:val="00035AA4"/>
    <w:rsid w:val="00050B7F"/>
    <w:rsid w:val="00057078"/>
    <w:rsid w:val="0006391C"/>
    <w:rsid w:val="00073147"/>
    <w:rsid w:val="00080C1E"/>
    <w:rsid w:val="00084D9D"/>
    <w:rsid w:val="00090D0D"/>
    <w:rsid w:val="0009287A"/>
    <w:rsid w:val="000B3FF0"/>
    <w:rsid w:val="000C3B7B"/>
    <w:rsid w:val="000D385F"/>
    <w:rsid w:val="000E7658"/>
    <w:rsid w:val="000F4669"/>
    <w:rsid w:val="00106E15"/>
    <w:rsid w:val="001101C5"/>
    <w:rsid w:val="0011149C"/>
    <w:rsid w:val="0011348A"/>
    <w:rsid w:val="00117A1E"/>
    <w:rsid w:val="00131F5B"/>
    <w:rsid w:val="00140169"/>
    <w:rsid w:val="00150507"/>
    <w:rsid w:val="00154929"/>
    <w:rsid w:val="00162314"/>
    <w:rsid w:val="00164843"/>
    <w:rsid w:val="00176919"/>
    <w:rsid w:val="00194CD6"/>
    <w:rsid w:val="001A27AB"/>
    <w:rsid w:val="001C3C8E"/>
    <w:rsid w:val="001C7267"/>
    <w:rsid w:val="001D0057"/>
    <w:rsid w:val="001E471E"/>
    <w:rsid w:val="0020146D"/>
    <w:rsid w:val="00201891"/>
    <w:rsid w:val="00231FEC"/>
    <w:rsid w:val="00232CC6"/>
    <w:rsid w:val="00236D03"/>
    <w:rsid w:val="00277A8A"/>
    <w:rsid w:val="00286D5E"/>
    <w:rsid w:val="00291ED5"/>
    <w:rsid w:val="0029538D"/>
    <w:rsid w:val="002A5397"/>
    <w:rsid w:val="002A7647"/>
    <w:rsid w:val="002C15FA"/>
    <w:rsid w:val="002C4810"/>
    <w:rsid w:val="002D064A"/>
    <w:rsid w:val="002E0838"/>
    <w:rsid w:val="002E2A84"/>
    <w:rsid w:val="002F3639"/>
    <w:rsid w:val="002F6BD2"/>
    <w:rsid w:val="003029C9"/>
    <w:rsid w:val="0030672D"/>
    <w:rsid w:val="00317DFF"/>
    <w:rsid w:val="00323FE2"/>
    <w:rsid w:val="00324394"/>
    <w:rsid w:val="003621CB"/>
    <w:rsid w:val="003659A3"/>
    <w:rsid w:val="0039008B"/>
    <w:rsid w:val="003A6718"/>
    <w:rsid w:val="003A6AA9"/>
    <w:rsid w:val="003B24EE"/>
    <w:rsid w:val="003B3E86"/>
    <w:rsid w:val="003C0134"/>
    <w:rsid w:val="003D152B"/>
    <w:rsid w:val="003F4F71"/>
    <w:rsid w:val="004003A0"/>
    <w:rsid w:val="004070CA"/>
    <w:rsid w:val="004100FA"/>
    <w:rsid w:val="00410A54"/>
    <w:rsid w:val="00437546"/>
    <w:rsid w:val="0047798A"/>
    <w:rsid w:val="00481807"/>
    <w:rsid w:val="00484BB7"/>
    <w:rsid w:val="00484D19"/>
    <w:rsid w:val="00491546"/>
    <w:rsid w:val="004B2CAC"/>
    <w:rsid w:val="004B4F44"/>
    <w:rsid w:val="004C23EE"/>
    <w:rsid w:val="004E3BFD"/>
    <w:rsid w:val="004E6FC9"/>
    <w:rsid w:val="005214FC"/>
    <w:rsid w:val="00521ABA"/>
    <w:rsid w:val="00535A63"/>
    <w:rsid w:val="00536757"/>
    <w:rsid w:val="005407CF"/>
    <w:rsid w:val="005448D4"/>
    <w:rsid w:val="005508CB"/>
    <w:rsid w:val="00551705"/>
    <w:rsid w:val="00551E82"/>
    <w:rsid w:val="00562964"/>
    <w:rsid w:val="005641CE"/>
    <w:rsid w:val="005662E5"/>
    <w:rsid w:val="00571B54"/>
    <w:rsid w:val="00576022"/>
    <w:rsid w:val="00586D27"/>
    <w:rsid w:val="005A6DF3"/>
    <w:rsid w:val="005B6944"/>
    <w:rsid w:val="005E343F"/>
    <w:rsid w:val="006011B9"/>
    <w:rsid w:val="00624BF2"/>
    <w:rsid w:val="006471D1"/>
    <w:rsid w:val="006618BB"/>
    <w:rsid w:val="00661F30"/>
    <w:rsid w:val="00665042"/>
    <w:rsid w:val="006770B1"/>
    <w:rsid w:val="006812B9"/>
    <w:rsid w:val="0069300E"/>
    <w:rsid w:val="0069346A"/>
    <w:rsid w:val="0069506C"/>
    <w:rsid w:val="006A07FE"/>
    <w:rsid w:val="006A5625"/>
    <w:rsid w:val="006B0BB0"/>
    <w:rsid w:val="006B2323"/>
    <w:rsid w:val="006D2C33"/>
    <w:rsid w:val="006E1F8B"/>
    <w:rsid w:val="006E62C5"/>
    <w:rsid w:val="006E6D09"/>
    <w:rsid w:val="0070141B"/>
    <w:rsid w:val="007023E7"/>
    <w:rsid w:val="00706E57"/>
    <w:rsid w:val="00713C42"/>
    <w:rsid w:val="00714DBD"/>
    <w:rsid w:val="00721290"/>
    <w:rsid w:val="007272B7"/>
    <w:rsid w:val="0073208B"/>
    <w:rsid w:val="00736E88"/>
    <w:rsid w:val="00741307"/>
    <w:rsid w:val="007543FD"/>
    <w:rsid w:val="00766081"/>
    <w:rsid w:val="007776CE"/>
    <w:rsid w:val="00780425"/>
    <w:rsid w:val="00782DF8"/>
    <w:rsid w:val="00794674"/>
    <w:rsid w:val="007951EB"/>
    <w:rsid w:val="0079706A"/>
    <w:rsid w:val="007A62C0"/>
    <w:rsid w:val="007C076C"/>
    <w:rsid w:val="007D1CF2"/>
    <w:rsid w:val="007D58D5"/>
    <w:rsid w:val="00807D43"/>
    <w:rsid w:val="00813C48"/>
    <w:rsid w:val="00821118"/>
    <w:rsid w:val="00831005"/>
    <w:rsid w:val="00831FBE"/>
    <w:rsid w:val="008569DC"/>
    <w:rsid w:val="0086154B"/>
    <w:rsid w:val="00862986"/>
    <w:rsid w:val="00873972"/>
    <w:rsid w:val="00875D97"/>
    <w:rsid w:val="00880AE6"/>
    <w:rsid w:val="0088365F"/>
    <w:rsid w:val="00885165"/>
    <w:rsid w:val="0089478C"/>
    <w:rsid w:val="008A15E4"/>
    <w:rsid w:val="008A4DC7"/>
    <w:rsid w:val="008B2017"/>
    <w:rsid w:val="008B2C3F"/>
    <w:rsid w:val="008B7F7E"/>
    <w:rsid w:val="008C672A"/>
    <w:rsid w:val="008C6CDA"/>
    <w:rsid w:val="008D7A86"/>
    <w:rsid w:val="008E204A"/>
    <w:rsid w:val="008E28C5"/>
    <w:rsid w:val="008E6642"/>
    <w:rsid w:val="008F348C"/>
    <w:rsid w:val="009134DF"/>
    <w:rsid w:val="009274C2"/>
    <w:rsid w:val="0094144B"/>
    <w:rsid w:val="0094185B"/>
    <w:rsid w:val="0094346A"/>
    <w:rsid w:val="0095789C"/>
    <w:rsid w:val="00964C78"/>
    <w:rsid w:val="00967B53"/>
    <w:rsid w:val="00974094"/>
    <w:rsid w:val="0097431B"/>
    <w:rsid w:val="00982E58"/>
    <w:rsid w:val="00996B03"/>
    <w:rsid w:val="009B2F3F"/>
    <w:rsid w:val="009C5E11"/>
    <w:rsid w:val="009D309F"/>
    <w:rsid w:val="009D62A0"/>
    <w:rsid w:val="009E5C86"/>
    <w:rsid w:val="009E6077"/>
    <w:rsid w:val="009F3C0F"/>
    <w:rsid w:val="009F40E0"/>
    <w:rsid w:val="009F540A"/>
    <w:rsid w:val="00A0404B"/>
    <w:rsid w:val="00A115E6"/>
    <w:rsid w:val="00A26CF4"/>
    <w:rsid w:val="00A27738"/>
    <w:rsid w:val="00A414A8"/>
    <w:rsid w:val="00A50B1A"/>
    <w:rsid w:val="00A65933"/>
    <w:rsid w:val="00A66C08"/>
    <w:rsid w:val="00A7139A"/>
    <w:rsid w:val="00A71662"/>
    <w:rsid w:val="00A72C5C"/>
    <w:rsid w:val="00A75F37"/>
    <w:rsid w:val="00A767BC"/>
    <w:rsid w:val="00A77C75"/>
    <w:rsid w:val="00A77FE5"/>
    <w:rsid w:val="00A863A4"/>
    <w:rsid w:val="00A92297"/>
    <w:rsid w:val="00A93EA3"/>
    <w:rsid w:val="00A97952"/>
    <w:rsid w:val="00AA1B9A"/>
    <w:rsid w:val="00AA2414"/>
    <w:rsid w:val="00AA4F0F"/>
    <w:rsid w:val="00AA7F64"/>
    <w:rsid w:val="00AC3426"/>
    <w:rsid w:val="00AD23A7"/>
    <w:rsid w:val="00AD53AA"/>
    <w:rsid w:val="00AD5A54"/>
    <w:rsid w:val="00AE2901"/>
    <w:rsid w:val="00AE3151"/>
    <w:rsid w:val="00AF7D0A"/>
    <w:rsid w:val="00B006E9"/>
    <w:rsid w:val="00B07245"/>
    <w:rsid w:val="00B221A3"/>
    <w:rsid w:val="00B32812"/>
    <w:rsid w:val="00B5170E"/>
    <w:rsid w:val="00B51902"/>
    <w:rsid w:val="00B51B16"/>
    <w:rsid w:val="00B56496"/>
    <w:rsid w:val="00B735C1"/>
    <w:rsid w:val="00B74A06"/>
    <w:rsid w:val="00B821D8"/>
    <w:rsid w:val="00B97CB2"/>
    <w:rsid w:val="00BC0AB1"/>
    <w:rsid w:val="00BC5463"/>
    <w:rsid w:val="00BC7722"/>
    <w:rsid w:val="00BD131A"/>
    <w:rsid w:val="00BD2136"/>
    <w:rsid w:val="00BD6F74"/>
    <w:rsid w:val="00BE46B3"/>
    <w:rsid w:val="00BE6332"/>
    <w:rsid w:val="00BF31D7"/>
    <w:rsid w:val="00C171FA"/>
    <w:rsid w:val="00C20ABD"/>
    <w:rsid w:val="00C35415"/>
    <w:rsid w:val="00C709D1"/>
    <w:rsid w:val="00CC1839"/>
    <w:rsid w:val="00CC2E31"/>
    <w:rsid w:val="00CC32D8"/>
    <w:rsid w:val="00CC5430"/>
    <w:rsid w:val="00CF0A91"/>
    <w:rsid w:val="00D00198"/>
    <w:rsid w:val="00D031F9"/>
    <w:rsid w:val="00D12B25"/>
    <w:rsid w:val="00D165FB"/>
    <w:rsid w:val="00D20D96"/>
    <w:rsid w:val="00D27869"/>
    <w:rsid w:val="00D34DF9"/>
    <w:rsid w:val="00D36AC2"/>
    <w:rsid w:val="00D46528"/>
    <w:rsid w:val="00D54E1C"/>
    <w:rsid w:val="00D648B2"/>
    <w:rsid w:val="00D83875"/>
    <w:rsid w:val="00D97BAD"/>
    <w:rsid w:val="00DA7AB9"/>
    <w:rsid w:val="00DC52F9"/>
    <w:rsid w:val="00DC5EDE"/>
    <w:rsid w:val="00DC62F3"/>
    <w:rsid w:val="00DE4CDC"/>
    <w:rsid w:val="00DF66F2"/>
    <w:rsid w:val="00E14D78"/>
    <w:rsid w:val="00E16C75"/>
    <w:rsid w:val="00E23006"/>
    <w:rsid w:val="00E30819"/>
    <w:rsid w:val="00E32FB7"/>
    <w:rsid w:val="00E51A5C"/>
    <w:rsid w:val="00E530E1"/>
    <w:rsid w:val="00E53831"/>
    <w:rsid w:val="00E53A0B"/>
    <w:rsid w:val="00E726DD"/>
    <w:rsid w:val="00E82B84"/>
    <w:rsid w:val="00EA461B"/>
    <w:rsid w:val="00EA5AAB"/>
    <w:rsid w:val="00EB3BDF"/>
    <w:rsid w:val="00EB697A"/>
    <w:rsid w:val="00EE78E5"/>
    <w:rsid w:val="00F027FF"/>
    <w:rsid w:val="00F119B6"/>
    <w:rsid w:val="00F12BB9"/>
    <w:rsid w:val="00F26A52"/>
    <w:rsid w:val="00F33647"/>
    <w:rsid w:val="00F545BD"/>
    <w:rsid w:val="00F65A8C"/>
    <w:rsid w:val="00F66CB5"/>
    <w:rsid w:val="00F72DA5"/>
    <w:rsid w:val="00F925F4"/>
    <w:rsid w:val="00F93ADA"/>
    <w:rsid w:val="00FA1EE2"/>
    <w:rsid w:val="00FD4D42"/>
    <w:rsid w:val="00FF32F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4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34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34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34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34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343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4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43F"/>
  </w:style>
  <w:style w:type="paragraph" w:styleId="21">
    <w:name w:val="Body Text 2"/>
    <w:basedOn w:val="a"/>
    <w:link w:val="22"/>
    <w:semiHidden/>
    <w:rsid w:val="005E343F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5E343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5E34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5E343F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5E343F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5E34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5E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4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34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34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34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34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343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571B54"/>
  </w:style>
  <w:style w:type="character" w:customStyle="1" w:styleId="10">
    <w:name w:val="Заголовок 1 Знак"/>
    <w:basedOn w:val="a0"/>
    <w:link w:val="1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43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34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43F"/>
  </w:style>
  <w:style w:type="paragraph" w:styleId="21">
    <w:name w:val="Body Text 2"/>
    <w:basedOn w:val="a"/>
    <w:link w:val="22"/>
    <w:semiHidden/>
    <w:rsid w:val="005E343F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semiHidden/>
    <w:rsid w:val="005E343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E3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5E34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rsid w:val="005E343F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5E3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5E343F"/>
    <w:pPr>
      <w:framePr w:w="4888" w:h="4218" w:hRule="exact" w:hSpace="142" w:wrap="around" w:vAnchor="text" w:hAnchor="page" w:x="1475" w:y="1" w:anchorLock="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5E34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5E34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BD57-F737-4B9A-8923-9948D18D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115</cp:revision>
  <cp:lastPrinted>2024-02-26T09:41:00Z</cp:lastPrinted>
  <dcterms:created xsi:type="dcterms:W3CDTF">2021-02-08T13:19:00Z</dcterms:created>
  <dcterms:modified xsi:type="dcterms:W3CDTF">2024-03-05T13:46:00Z</dcterms:modified>
</cp:coreProperties>
</file>