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8" w:rsidRDefault="00FB7C68" w:rsidP="00FB7C68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FB7C68" w:rsidRDefault="00FB7C68" w:rsidP="00FB7C68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 ОСФР по Республике Саха (Якутия) №__________от __________2023 г.</w:t>
      </w:r>
    </w:p>
    <w:p w:rsidR="00FB7C68" w:rsidRDefault="00FB7C68" w:rsidP="00FB7C68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FB7C68" w:rsidRDefault="00FB7C68" w:rsidP="00FB7C68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FB7C68" w:rsidRDefault="00FB7C68" w:rsidP="00FB7C68">
      <w:pPr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FB7C68" w:rsidRDefault="00FB7C68" w:rsidP="00FB7C68">
      <w:pPr>
        <w:autoSpaceDE w:val="0"/>
        <w:ind w:firstLine="708"/>
        <w:jc w:val="center"/>
      </w:pPr>
      <w:r>
        <w:rPr>
          <w:rFonts w:eastAsia="Times New Roman CYR" w:cs="Times New Roman"/>
          <w:b/>
          <w:bCs/>
          <w:sz w:val="20"/>
          <w:szCs w:val="20"/>
        </w:rPr>
        <w:t>на обеспечение техническим</w:t>
      </w:r>
      <w:r w:rsidR="00697F61">
        <w:rPr>
          <w:rFonts w:eastAsia="Times New Roman CYR" w:cs="Times New Roman"/>
          <w:b/>
          <w:bCs/>
          <w:sz w:val="20"/>
          <w:szCs w:val="20"/>
        </w:rPr>
        <w:t>и средствами реабилитации в 2024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FB7C68" w:rsidRDefault="00FB7C68" w:rsidP="00FB7C68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FB7C68" w:rsidRDefault="00FB7C68" w:rsidP="00FB7C68">
      <w:pPr>
        <w:pStyle w:val="Standard"/>
        <w:numPr>
          <w:ilvl w:val="0"/>
          <w:numId w:val="1"/>
        </w:numPr>
        <w:autoSpaceDE w:val="0"/>
        <w:ind w:left="0" w:firstLine="426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sz w:val="20"/>
          <w:szCs w:val="20"/>
        </w:rPr>
        <w:t>Запрос котировок в электронной форме.</w:t>
      </w:r>
    </w:p>
    <w:p w:rsidR="00FB7C68" w:rsidRDefault="00FB7C68" w:rsidP="00FB7C68">
      <w:pPr>
        <w:pStyle w:val="Standard"/>
        <w:numPr>
          <w:ilvl w:val="0"/>
          <w:numId w:val="1"/>
        </w:numPr>
        <w:autoSpaceDE w:val="0"/>
        <w:ind w:left="0" w:firstLine="426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п</w:t>
      </w:r>
      <w:r>
        <w:rPr>
          <w:rFonts w:cs="Times New Roman"/>
          <w:color w:val="000000"/>
          <w:sz w:val="20"/>
          <w:szCs w:val="20"/>
        </w:rPr>
        <w:t>оставка технических средств реабилитации в 2023 году</w:t>
      </w:r>
      <w:r>
        <w:rPr>
          <w:rFonts w:eastAsia="Times New Roman CYR" w:cs="Times New Roman"/>
          <w:bCs/>
          <w:sz w:val="20"/>
          <w:szCs w:val="20"/>
        </w:rPr>
        <w:t xml:space="preserve">. </w:t>
      </w:r>
      <w:r>
        <w:rPr>
          <w:rFonts w:eastAsia="Times New Roman CYR" w:cs="Times New Roman"/>
          <w:b/>
          <w:bCs/>
          <w:sz w:val="20"/>
          <w:szCs w:val="20"/>
        </w:rPr>
        <w:t xml:space="preserve">Приспособления для одевания, раздевания и захвата предметов. </w:t>
      </w:r>
    </w:p>
    <w:p w:rsidR="00FB7C68" w:rsidRDefault="00FB7C68" w:rsidP="00FB7C68">
      <w:pPr>
        <w:pStyle w:val="Standard"/>
        <w:autoSpaceDE w:val="0"/>
        <w:jc w:val="both"/>
      </w:pPr>
    </w:p>
    <w:tbl>
      <w:tblPr>
        <w:tblW w:w="968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850"/>
        <w:gridCol w:w="992"/>
        <w:gridCol w:w="1317"/>
      </w:tblGrid>
      <w:tr w:rsidR="00FB7C68" w:rsidTr="009B40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Кол-во, пара.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Цена за пару,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Сумма, руб.</w:t>
            </w:r>
          </w:p>
        </w:tc>
      </w:tr>
      <w:tr w:rsidR="00FB7C68" w:rsidTr="009B40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C5746C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Приспособление для надевания рубашек </w:t>
            </w:r>
          </w:p>
          <w:p w:rsidR="00FB7C68" w:rsidRDefault="00FB7C68" w:rsidP="0028154E">
            <w:pPr>
              <w:snapToGrid w:val="0"/>
              <w:spacing w:line="100" w:lineRule="atLeast"/>
              <w:ind w:right="132"/>
              <w:jc w:val="center"/>
              <w:rPr>
                <w:rFonts w:cs="Times New Roman"/>
                <w:sz w:val="20"/>
                <w:szCs w:val="20"/>
              </w:rPr>
            </w:pPr>
          </w:p>
          <w:p w:rsidR="00FB7C68" w:rsidRDefault="00FB7C68" w:rsidP="0028154E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sz w:val="20"/>
                <w:szCs w:val="20"/>
              </w:rPr>
            </w:pPr>
          </w:p>
          <w:p w:rsidR="00FB7C68" w:rsidRDefault="00FB7C68" w:rsidP="0028154E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Приспособление для надевания рубашек обеспечивает инвалидам возможность самостоятельно надевать и снимать рубашку (одежду). Приспособление – рукоятка с крюком в форме буквы «С» с одной стороны и специальным захватом, с другой стороны.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3 560,07 </w:t>
            </w:r>
          </w:p>
          <w:p w:rsidR="00FB7C68" w:rsidRDefault="00FB7C68" w:rsidP="0028154E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B7C68" w:rsidRDefault="00FB7C68" w:rsidP="0028154E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81 881,61</w:t>
            </w:r>
          </w:p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Приспособление для надевания колгот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Приспособление для надевания колготок предназначено для обеспечения удобства при надевании носков лицами с ограниченными возможностями движения верхних конечностей и дефектами 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4 079,90 </w:t>
            </w:r>
          </w:p>
          <w:p w:rsidR="009B403A" w:rsidRDefault="009B403A" w:rsidP="009B403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81 598,00</w:t>
            </w:r>
          </w:p>
          <w:p w:rsidR="009B403A" w:rsidRDefault="009B403A" w:rsidP="009B403A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Приспособление для надевания носков </w:t>
            </w:r>
          </w:p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  <w:p w:rsidR="009B403A" w:rsidRDefault="009B403A" w:rsidP="009B403A">
            <w:pPr>
              <w:snapToGrid w:val="0"/>
              <w:ind w:left="-79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Приспособление для надевания носков предназначено для обеспечения удобства при надевании носков лицами с ограниченными возможностями движения верхних конечностей и дефектами 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3 946,91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90 778,93</w:t>
            </w:r>
          </w:p>
          <w:p w:rsidR="009B403A" w:rsidRDefault="009B403A" w:rsidP="009B403A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1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Приспособление (крючок) для застегивания пуговиц</w:t>
            </w:r>
          </w:p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  <w:p w:rsidR="009B403A" w:rsidRDefault="009B403A" w:rsidP="009B403A">
            <w:pPr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Приспособление (крючок) для застегивания пуговиц помогает самостоятельно одеваться инвалидов с нарушением функций опорно-двигательного аппарата. Приспособление в своем составе имеет следующие части: </w:t>
            </w:r>
          </w:p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-ловушка для пуговиц,</w:t>
            </w:r>
          </w:p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-крючок для застегивания пуговиц и молний. </w:t>
            </w:r>
          </w:p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Приспособление имеет резиновую рукоятку.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2 692,08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53 841,60</w:t>
            </w:r>
          </w:p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403A" w:rsidTr="009B403A">
        <w:trPr>
          <w:trHeight w:val="1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Захват активный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Активный захват предназначен для облегчения манипулирования небольшими предметами лицами с нарушениями функций опорно-двигательного аппарата и лежачих больных. Захват изготовлен из алюминиевого сплава, с пластмассовой ручкой и металлическим зажимом для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2 749,66 </w:t>
            </w:r>
          </w:p>
          <w:p w:rsidR="009B403A" w:rsidRDefault="009B403A" w:rsidP="009B403A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302 462,60</w:t>
            </w:r>
          </w:p>
          <w:p w:rsidR="009B403A" w:rsidRDefault="009B403A" w:rsidP="009B403A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1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Захват для удержания посуды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Захват для удержания посуды предназначен для облегчения самообслуживания инвалидов с нарушением функций опорно-двигательного аппарата. Захват представляет собой зажим, работающий по принципу тисков. Захват предназначен для удержания посуды, а также удержания твердых предметов.</w:t>
            </w:r>
          </w:p>
          <w:p w:rsidR="009B403A" w:rsidRDefault="009B403A" w:rsidP="009B403A">
            <w:pPr>
              <w:tabs>
                <w:tab w:val="left" w:pos="7128"/>
              </w:tabs>
              <w:ind w:left="-79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6 180,38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61 803,80</w:t>
            </w:r>
          </w:p>
          <w:p w:rsidR="009B403A" w:rsidRDefault="009B403A" w:rsidP="009B403A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16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Захват для открывания крышек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both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Захват для открывания крышек предназначен для облегчения открывания резьбовых крышек без приложения сверх усилий. Подходит для крышек любого размера. Захват надевается на крышку и затягивается до нужного размера, затем рукоятка захвата поворачивается против часовой стрелки, как рычаг. Подходит для пожилых людей и пациентов с ослабленными руками. Захват состоит из регулируемого зажима до диаметра крышки и ручки рычага для поворота крышки против часовой стрелки.</w:t>
            </w:r>
          </w:p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2 790,69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27 906,90</w:t>
            </w:r>
          </w:p>
          <w:p w:rsidR="009B403A" w:rsidRDefault="009B403A" w:rsidP="009B403A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2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Захват для ключей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Предназначен для облегчения поворота ключа в замке инвалидами с контурами кисти. Состоит из: корпуса, зажима. Зажим рассчитан на 3 ключа. Ключи складываются для облегчения хранения.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3 651,39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36 513,90</w:t>
            </w:r>
          </w:p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03A" w:rsidRDefault="009B403A" w:rsidP="009B403A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2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Крюк на длинной ручке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Крюк на длинной ручке (для открывания форточек, створок окна и т.д.) предназначен для облегчения притягивания створок окна, форточек, дверцы и ящики мебели. Устройство позволяет инвалиду самостоятельно открывать и закрывать створки окон, форточек, дверцы ящики мебели и выполнен в виде устройства содержащего основное и элемент зацепа. Крючок выдерживает нагрузку, направленную в сторону движения ящиков и дверец.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3 477,48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382 522,80</w:t>
            </w:r>
          </w:p>
          <w:p w:rsidR="009B403A" w:rsidRDefault="009B403A" w:rsidP="009B403A">
            <w:pPr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B403A" w:rsidTr="009B403A">
        <w:trPr>
          <w:trHeight w:val="22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Насадка для утолщения объема письменных принадлежностей (ручки, карандаши) для удержания</w:t>
            </w:r>
          </w:p>
          <w:p w:rsidR="009B403A" w:rsidRDefault="009B403A" w:rsidP="009B403A">
            <w:pPr>
              <w:snapToGrid w:val="0"/>
              <w:spacing w:line="100" w:lineRule="atLeast"/>
              <w:ind w:left="-79" w:right="13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ind w:left="-7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Насадка предназначена для снижения нагрузки при письме. Приспособление для удержания шариковых ручек и карандашей. Держатель надевается поверх ручки (карандаша), делая ее толще, а значит легче для захвата пальцами.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705,36 </w:t>
            </w:r>
          </w:p>
          <w:p w:rsidR="009B403A" w:rsidRDefault="009B403A" w:rsidP="009B403A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3A" w:rsidRDefault="009B403A" w:rsidP="009B403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10 580,40</w:t>
            </w:r>
          </w:p>
          <w:p w:rsidR="009B403A" w:rsidRDefault="009B403A" w:rsidP="009B403A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7C68" w:rsidTr="009B403A">
        <w:trPr>
          <w:trHeight w:val="357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pStyle w:val="Standard"/>
              <w:snapToGrid w:val="0"/>
              <w:ind w:left="-79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Все изделия должны соответствовать требованиям: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10993-1-2021,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10993-5-2011,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10993-10-2011, ГОСТ </w:t>
            </w:r>
            <w:r>
              <w:rPr>
                <w:rFonts w:cs="Times New Roman"/>
                <w:sz w:val="20"/>
                <w:szCs w:val="20"/>
                <w:lang w:val="en-US"/>
              </w:rPr>
              <w:t>ISO</w:t>
            </w:r>
            <w:r>
              <w:rPr>
                <w:rFonts w:cs="Times New Roman"/>
                <w:sz w:val="20"/>
                <w:szCs w:val="20"/>
              </w:rPr>
              <w:t xml:space="preserve"> 10993-11-2021, ГОСТ Р 52770-2016.</w:t>
            </w:r>
          </w:p>
          <w:p w:rsidR="00FB7C68" w:rsidRDefault="00FB7C68" w:rsidP="0028154E">
            <w:pPr>
              <w:pStyle w:val="Standard"/>
              <w:snapToGrid w:val="0"/>
              <w:ind w:left="-79"/>
              <w:jc w:val="both"/>
            </w:pPr>
            <w:r>
              <w:rPr>
                <w:rFonts w:cs="Times New Roman"/>
                <w:sz w:val="20"/>
                <w:szCs w:val="20"/>
              </w:rPr>
              <w:t>Гарантийный срок составляет не менее 12 месяцев.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pStyle w:val="Standard"/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7C68" w:rsidTr="009B40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snapToGrid w:val="0"/>
              <w:ind w:left="-79" w:right="132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ind w:left="-79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9B403A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snapToGrid w:val="0"/>
              <w:ind w:left="-79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C68" w:rsidRDefault="00FB7C68" w:rsidP="0028154E">
            <w:pPr>
              <w:keepNext/>
              <w:tabs>
                <w:tab w:val="center" w:pos="510"/>
              </w:tabs>
              <w:snapToGrid w:val="0"/>
            </w:pPr>
            <w:r>
              <w:rPr>
                <w:rFonts w:cs="Times New Roman"/>
                <w:b/>
                <w:sz w:val="20"/>
              </w:rPr>
              <w:tab/>
            </w:r>
            <w:r w:rsidR="009B403A">
              <w:rPr>
                <w:b/>
                <w:bCs/>
                <w:color w:val="000000"/>
                <w:sz w:val="20"/>
                <w:szCs w:val="20"/>
              </w:rPr>
              <w:t>1 129 890,54</w:t>
            </w:r>
          </w:p>
        </w:tc>
      </w:tr>
    </w:tbl>
    <w:p w:rsidR="00FB7C68" w:rsidRDefault="00FB7C68" w:rsidP="00FB7C68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FB7C68" w:rsidRDefault="00FB7C68" w:rsidP="00FB7C68">
      <w:pPr>
        <w:pStyle w:val="Standard"/>
        <w:numPr>
          <w:ilvl w:val="0"/>
          <w:numId w:val="2"/>
        </w:numPr>
        <w:ind w:left="851" w:hanging="284"/>
      </w:pPr>
      <w:r>
        <w:rPr>
          <w:rFonts w:cs="Times New Roman"/>
          <w:b/>
          <w:sz w:val="20"/>
          <w:szCs w:val="20"/>
        </w:rPr>
        <w:t>Источник финансирования заказа</w:t>
      </w:r>
      <w:r>
        <w:rPr>
          <w:rFonts w:eastAsia="Times New Roman CYR" w:cs="Times New Roman"/>
          <w:sz w:val="20"/>
          <w:szCs w:val="20"/>
        </w:rPr>
        <w:t>: федеральный бюджет.</w:t>
      </w:r>
    </w:p>
    <w:p w:rsidR="00FB7C68" w:rsidRDefault="00FB7C68" w:rsidP="00FB7C68">
      <w:pPr>
        <w:pStyle w:val="Standard"/>
        <w:numPr>
          <w:ilvl w:val="0"/>
          <w:numId w:val="2"/>
        </w:numPr>
        <w:ind w:left="851" w:hanging="284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</w:t>
      </w:r>
      <w:r w:rsidR="004600AF">
        <w:rPr>
          <w:rFonts w:eastAsia="Times New Roman CYR" w:cs="Times New Roman"/>
          <w:b/>
          <w:bCs/>
          <w:sz w:val="20"/>
          <w:szCs w:val="20"/>
        </w:rPr>
        <w:t>мальная) цена контракта: 1 129 890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рублей</w:t>
      </w:r>
      <w:r w:rsidR="004600AF">
        <w:rPr>
          <w:rFonts w:eastAsia="Times New Roman CYR" w:cs="Times New Roman"/>
          <w:b/>
          <w:bCs/>
          <w:sz w:val="20"/>
          <w:szCs w:val="20"/>
        </w:rPr>
        <w:t xml:space="preserve"> 54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копейки</w:t>
      </w:r>
    </w:p>
    <w:p w:rsidR="00FB7C68" w:rsidRDefault="00FB7C68" w:rsidP="00FB7C68">
      <w:pPr>
        <w:tabs>
          <w:tab w:val="left" w:pos="45"/>
        </w:tabs>
        <w:autoSpaceDE w:val="0"/>
        <w:ind w:firstLine="567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5. Расчет начальной (максимальной) цены контракта: </w:t>
      </w:r>
      <w:r>
        <w:rPr>
          <w:rFonts w:eastAsia="Times New Roman CYR" w:cs="Times New Roman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 №2.</w:t>
      </w:r>
    </w:p>
    <w:p w:rsidR="00FB7C68" w:rsidRDefault="00FB7C68" w:rsidP="00FB7C68">
      <w:pPr>
        <w:tabs>
          <w:tab w:val="left" w:pos="6480"/>
          <w:tab w:val="left" w:pos="12960"/>
        </w:tabs>
        <w:spacing w:line="100" w:lineRule="atLeast"/>
        <w:ind w:firstLine="567"/>
        <w:jc w:val="both"/>
        <w:rPr>
          <w:rFonts w:eastAsia="DejaVu Sans" w:cs="Times New Roman"/>
          <w:b/>
          <w:sz w:val="20"/>
          <w:szCs w:val="20"/>
        </w:rPr>
      </w:pPr>
      <w:r>
        <w:rPr>
          <w:rFonts w:eastAsia="DejaVu Sans" w:cs="Times New Roman"/>
          <w:b/>
          <w:sz w:val="20"/>
          <w:szCs w:val="20"/>
        </w:rPr>
        <w:t>6. 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</w:t>
      </w:r>
    </w:p>
    <w:p w:rsidR="00FB7C68" w:rsidRDefault="00FB7C68" w:rsidP="00FB7C68">
      <w:pPr>
        <w:tabs>
          <w:tab w:val="left" w:pos="6480"/>
          <w:tab w:val="left" w:pos="12960"/>
        </w:tabs>
        <w:spacing w:line="100" w:lineRule="atLeast"/>
        <w:ind w:firstLine="567"/>
        <w:jc w:val="both"/>
      </w:pPr>
      <w:r>
        <w:rPr>
          <w:rFonts w:eastAsia="DejaVu Sans" w:cs="Times New Roman"/>
          <w:b/>
          <w:sz w:val="20"/>
          <w:szCs w:val="20"/>
        </w:rPr>
        <w:t xml:space="preserve"> </w:t>
      </w:r>
      <w:r>
        <w:rPr>
          <w:rFonts w:eastAsia="DejaVu Sans" w:cs="Times New Roman"/>
          <w:sz w:val="20"/>
        </w:rPr>
        <w:t>В цену Контракта включаются расходы по закупке, хранению, страхованию, уплате всех пошлин, налогов и других обязательных платежей, доставке Товара непосредственно до места пребывания Получателя, до специального пункта выдачи и иные расходы, связанные с выполнением настоящего Контракта (в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уменьшении суммы, подлежащей уплате физическому лицу,</w:t>
      </w:r>
      <w:r>
        <w:rPr>
          <w:rFonts w:eastAsia="DejaVu Sans" w:cs="Times New Roman"/>
          <w:b/>
          <w:sz w:val="20"/>
        </w:rPr>
        <w:t xml:space="preserve"> </w:t>
      </w:r>
      <w:r>
        <w:rPr>
          <w:rFonts w:eastAsia="DejaVu Sans" w:cs="Times New Roman"/>
          <w:sz w:val="20"/>
        </w:rPr>
        <w:t>на размер налоговых платежей, связанных с оплатой контракта).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ind w:firstLine="567"/>
        <w:jc w:val="both"/>
        <w:rPr>
          <w:rFonts w:eastAsia="DejaVu Sans" w:cs="Times New Roman"/>
          <w:b/>
          <w:sz w:val="20"/>
          <w:szCs w:val="20"/>
        </w:rPr>
      </w:pPr>
      <w:r>
        <w:rPr>
          <w:rFonts w:eastAsia="DejaVu Sans" w:cs="Times New Roman"/>
          <w:b/>
          <w:sz w:val="20"/>
          <w:szCs w:val="20"/>
        </w:rPr>
        <w:t>7. Место, условия и сроки (периоды) поставки товара, выполнения работ, оказания услуг: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ind w:firstLine="567"/>
        <w:jc w:val="both"/>
      </w:pPr>
      <w:r>
        <w:rPr>
          <w:rFonts w:eastAsia="Times New Roman" w:cs="Times New Roman"/>
          <w:sz w:val="20"/>
          <w:szCs w:val="20"/>
        </w:rPr>
        <w:t>Территория Республики Саха (Якутия). После уведомления Заказчика о поставке Товара на территорию ГО «Якутск», и получения от Заказчика реестра получателей Товара, Поставщик производит поставку Товара до Получателей (по месту пребывания, по месту нахождения пункта выдачи, по месту нахождения Поставщика или иное по выбору Получателя).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ind w:firstLine="567"/>
        <w:jc w:val="both"/>
      </w:pPr>
      <w:r>
        <w:rPr>
          <w:rFonts w:eastAsia="DejaVu Sans" w:cs="Times New Roman"/>
          <w:sz w:val="20"/>
          <w:szCs w:val="20"/>
        </w:rPr>
        <w:t xml:space="preserve">Весь объем товара должен быть поставлен на территорию </w:t>
      </w:r>
      <w:r>
        <w:rPr>
          <w:rFonts w:eastAsia="Times New Roman" w:cs="Times New Roman"/>
          <w:sz w:val="20"/>
          <w:szCs w:val="20"/>
          <w:shd w:val="clear" w:color="auto" w:fill="FFFFFF"/>
        </w:rPr>
        <w:t>ГО «Якутск»</w:t>
      </w:r>
      <w:r>
        <w:rPr>
          <w:rFonts w:eastAsia="DejaVu Sans" w:cs="Times New Roman"/>
          <w:sz w:val="20"/>
          <w:szCs w:val="20"/>
        </w:rPr>
        <w:t xml:space="preserve"> - в течение 40 (сорока) календарных дней с момента заключения Государственного контракта. </w:t>
      </w:r>
    </w:p>
    <w:p w:rsidR="00FB7C68" w:rsidRDefault="00FB7C68" w:rsidP="00FB7C68">
      <w:pPr>
        <w:widowControl/>
        <w:tabs>
          <w:tab w:val="left" w:pos="432"/>
        </w:tabs>
        <w:ind w:firstLine="567"/>
        <w:jc w:val="both"/>
      </w:pPr>
      <w:r>
        <w:rPr>
          <w:rFonts w:eastAsia="Times New Roman" w:cs="Times New Roman"/>
          <w:sz w:val="20"/>
          <w:szCs w:val="20"/>
        </w:rPr>
        <w:t>Выдача Товара Получателю, указанному в Реестре получателей Товара, в соответствии с выбранным им способом получени</w:t>
      </w: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я Товара в течение 30 (тридцати) календарных дней с даты получения Реестра получателей Товара от Заказчика, с предварительным уведомлением Получателя о предстоящей поставке Товара не позднее, чем </w:t>
      </w:r>
      <w:r>
        <w:rPr>
          <w:rFonts w:eastAsia="Times New Roman" w:cs="Times New Roman"/>
          <w:sz w:val="20"/>
          <w:szCs w:val="20"/>
          <w:shd w:val="clear" w:color="auto" w:fill="FFFFFF"/>
        </w:rPr>
        <w:lastRenderedPageBreak/>
        <w:t>за два дня до предполагаемой даты поставки, но не позднее «15» декабря 2023 г</w:t>
      </w:r>
      <w:r>
        <w:rPr>
          <w:rFonts w:eastAsia="Times New Roman" w:cs="Times New Roman"/>
          <w:sz w:val="20"/>
          <w:szCs w:val="20"/>
        </w:rPr>
        <w:t>. П</w:t>
      </w:r>
      <w:r>
        <w:rPr>
          <w:rFonts w:eastAsia="Times New Roman" w:cs="Times New Roman"/>
          <w:sz w:val="20"/>
          <w:szCs w:val="20"/>
          <w:shd w:val="clear" w:color="auto" w:fill="FFFFFF"/>
        </w:rPr>
        <w:t>оставка осуществляется в упаковке,</w:t>
      </w:r>
      <w:r>
        <w:rPr>
          <w:rFonts w:eastAsia="Times New Roman" w:cs="Times New Roman"/>
          <w:sz w:val="20"/>
          <w:szCs w:val="20"/>
        </w:rPr>
        <w:t xml:space="preserve"> обеспечивающей сохранности Товар во время перевозки.</w:t>
      </w:r>
    </w:p>
    <w:p w:rsidR="00FB7C68" w:rsidRDefault="00FB7C68" w:rsidP="00FB7C68">
      <w:pPr>
        <w:tabs>
          <w:tab w:val="left" w:pos="6480"/>
          <w:tab w:val="left" w:pos="12960"/>
        </w:tabs>
        <w:autoSpaceDE w:val="0"/>
        <w:ind w:firstLine="567"/>
        <w:jc w:val="both"/>
      </w:pPr>
      <w:r>
        <w:rPr>
          <w:rFonts w:eastAsia="DejaVu Sans" w:cs="Times New Roman"/>
          <w:sz w:val="20"/>
          <w:szCs w:val="20"/>
          <w:shd w:val="clear" w:color="auto" w:fill="FFFFFF"/>
        </w:rPr>
        <w:t>Список получателей в разрезе районов Республики Саха (Якутия) указан в приложении №3. Данный список может быть скорректирован в течении периода действия контракта.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autoSpaceDE w:val="0"/>
        <w:ind w:firstLine="567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8. Форма, сроки и порядок оплаты товара, работ, услуг: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autoSpaceDE w:val="0"/>
        <w:ind w:firstLine="567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9. 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</w:rPr>
        <w:t xml:space="preserve"> 5% от начальной (максимальной) цены контракта.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autoSpaceDE w:val="0"/>
        <w:ind w:firstLine="567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10. 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 xml:space="preserve">30% от начальной (максимальной) цены контракта. Указанная сумма является </w:t>
      </w:r>
      <w:r>
        <w:rPr>
          <w:rFonts w:eastAsia="Times New Roman CYR" w:cs="Times New Roman"/>
          <w:b/>
          <w:color w:val="000000"/>
          <w:kern w:val="0"/>
          <w:sz w:val="20"/>
          <w:szCs w:val="20"/>
        </w:rPr>
        <w:t>предварительной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 xml:space="preserve"> и рассчитана от начальной (</w:t>
      </w:r>
      <w:r>
        <w:rPr>
          <w:rFonts w:eastAsia="Times New Roman CYR" w:cs="Times New Roman"/>
          <w:b/>
          <w:color w:val="000000"/>
          <w:kern w:val="0"/>
          <w:sz w:val="20"/>
          <w:szCs w:val="20"/>
        </w:rPr>
        <w:t>максимальной</w:t>
      </w:r>
      <w:r>
        <w:rPr>
          <w:rFonts w:eastAsia="Times New Roman CYR" w:cs="Times New Roman"/>
          <w:color w:val="000000"/>
          <w:kern w:val="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FB7C68" w:rsidRDefault="00FB7C68" w:rsidP="00FB7C68">
      <w:pPr>
        <w:widowControl/>
        <w:tabs>
          <w:tab w:val="left" w:pos="6480"/>
          <w:tab w:val="left" w:pos="12960"/>
        </w:tabs>
        <w:autoSpaceDE w:val="0"/>
        <w:ind w:firstLine="567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11. </w:t>
      </w: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FB7C68" w:rsidRDefault="00FB7C68" w:rsidP="00FB7C68">
      <w:pPr>
        <w:autoSpaceDE w:val="0"/>
        <w:ind w:firstLine="567"/>
        <w:rPr>
          <w:rFonts w:eastAsia="Times New Roman CYR" w:cs="Times New Roman"/>
          <w:color w:val="000000"/>
          <w:sz w:val="20"/>
          <w:szCs w:val="20"/>
        </w:rPr>
      </w:pPr>
    </w:p>
    <w:p w:rsidR="00FB7C68" w:rsidRDefault="00FB7C68" w:rsidP="00FB7C68">
      <w:pPr>
        <w:autoSpaceDE w:val="0"/>
        <w:ind w:firstLine="567"/>
        <w:jc w:val="center"/>
        <w:rPr>
          <w:rFonts w:eastAsia="Times New Roman CYR" w:cs="Times New Roman"/>
          <w:color w:val="000000"/>
          <w:sz w:val="20"/>
          <w:szCs w:val="20"/>
        </w:rPr>
      </w:pPr>
    </w:p>
    <w:p w:rsidR="00FB7C68" w:rsidRDefault="00FB7C68" w:rsidP="00FB7C68">
      <w:pPr>
        <w:autoSpaceDE w:val="0"/>
        <w:ind w:firstLine="567"/>
        <w:jc w:val="center"/>
        <w:rPr>
          <w:rFonts w:eastAsia="Times New Roman CYR" w:cs="Times New Roman"/>
          <w:color w:val="000000"/>
          <w:sz w:val="20"/>
          <w:szCs w:val="20"/>
        </w:rPr>
      </w:pPr>
    </w:p>
    <w:p w:rsidR="00FB7C68" w:rsidRDefault="00FB7C68" w:rsidP="00FB7C68">
      <w:pPr>
        <w:autoSpaceDE w:val="0"/>
        <w:ind w:firstLine="567"/>
        <w:jc w:val="center"/>
        <w:rPr>
          <w:rFonts w:eastAsia="Times New Roman CYR" w:cs="Times New Roman"/>
          <w:color w:val="000000"/>
          <w:sz w:val="20"/>
          <w:szCs w:val="20"/>
        </w:rPr>
      </w:pPr>
    </w:p>
    <w:p w:rsidR="00FB7C68" w:rsidRDefault="00FB7C68" w:rsidP="00FB7C68">
      <w:pPr>
        <w:autoSpaceDE w:val="0"/>
        <w:ind w:firstLine="567"/>
        <w:jc w:val="center"/>
        <w:rPr>
          <w:rFonts w:eastAsia="Times New Roman CYR" w:cs="Times New Roman"/>
          <w:color w:val="000000"/>
          <w:sz w:val="20"/>
          <w:szCs w:val="20"/>
        </w:rPr>
      </w:pPr>
    </w:p>
    <w:p w:rsidR="004600AF" w:rsidRDefault="004600AF" w:rsidP="004600AF">
      <w:pPr>
        <w:autoSpaceDE w:val="0"/>
        <w:ind w:firstLine="567"/>
        <w:jc w:val="center"/>
      </w:pPr>
      <w:r>
        <w:rPr>
          <w:rFonts w:eastAsia="Times New Roman CYR" w:cs="Times New Roman"/>
          <w:color w:val="000000"/>
          <w:sz w:val="20"/>
          <w:szCs w:val="20"/>
        </w:rPr>
        <w:t>Начальник ОСП                                                                       Н.С. Протопопова</w:t>
      </w:r>
    </w:p>
    <w:p w:rsidR="00C51AC5" w:rsidRDefault="00C51AC5" w:rsidP="004600AF">
      <w:pPr>
        <w:autoSpaceDE w:val="0"/>
        <w:ind w:firstLine="567"/>
        <w:jc w:val="center"/>
      </w:pPr>
      <w:bookmarkStart w:id="0" w:name="_GoBack"/>
      <w:bookmarkEnd w:id="0"/>
    </w:p>
    <w:sectPr w:rsidR="00C51AC5">
      <w:pgSz w:w="11906" w:h="16838"/>
      <w:pgMar w:top="1008" w:right="88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2F66"/>
    <w:multiLevelType w:val="multilevel"/>
    <w:tmpl w:val="4C76D932"/>
    <w:lvl w:ilvl="0">
      <w:start w:val="1"/>
      <w:numFmt w:val="decimal"/>
      <w:lvlText w:val="%1."/>
      <w:lvlJc w:val="left"/>
      <w:pPr>
        <w:ind w:left="1287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8B687E"/>
    <w:multiLevelType w:val="multilevel"/>
    <w:tmpl w:val="CCE2916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/>
        <w:bCs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E"/>
    <w:rsid w:val="004600AF"/>
    <w:rsid w:val="005C7F4E"/>
    <w:rsid w:val="00697F61"/>
    <w:rsid w:val="009B403A"/>
    <w:rsid w:val="00C51AC5"/>
    <w:rsid w:val="00C5746C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0F96B-9B9F-407C-B672-CC2A5E20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7C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Колесова Маргарита Юрьевна</cp:lastModifiedBy>
  <cp:revision>4</cp:revision>
  <dcterms:created xsi:type="dcterms:W3CDTF">2023-09-11T07:49:00Z</dcterms:created>
  <dcterms:modified xsi:type="dcterms:W3CDTF">2023-11-15T01:44:00Z</dcterms:modified>
</cp:coreProperties>
</file>