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к приказу</w:t>
      </w:r>
      <w:r w:rsidR="00D333A0"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ОСФР по Республике Саха (Якутия)</w:t>
      </w:r>
      <w:r w:rsidR="00BE7493"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№__________от __________2023</w:t>
      </w: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г.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F2095" w:rsidP="009002C7">
      <w:pPr>
        <w:pStyle w:val="Standard"/>
        <w:autoSpaceDE w:val="0"/>
        <w:ind w:firstLine="707"/>
        <w:rPr>
          <w:rFonts w:eastAsia="Times New Roman CYR" w:cs="Times New Roman"/>
          <w:b/>
          <w:bCs/>
          <w:sz w:val="20"/>
          <w:szCs w:val="20"/>
        </w:rPr>
      </w:pPr>
    </w:p>
    <w:p w:rsidR="0069079F" w:rsidRDefault="0069079F" w:rsidP="009002C7">
      <w:pPr>
        <w:pStyle w:val="Standard"/>
        <w:numPr>
          <w:ilvl w:val="0"/>
          <w:numId w:val="6"/>
        </w:numPr>
        <w:autoSpaceDE w:val="0"/>
        <w:ind w:left="0" w:firstLine="426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 w:rsidR="00DB65E2">
        <w:rPr>
          <w:rFonts w:eastAsia="Times New Roman CYR" w:cs="Times New Roman"/>
          <w:color w:val="000000"/>
          <w:sz w:val="20"/>
          <w:szCs w:val="20"/>
        </w:rPr>
        <w:t>запрос котировок</w:t>
      </w:r>
      <w:bookmarkStart w:id="0" w:name="_GoBack"/>
      <w:bookmarkEnd w:id="0"/>
      <w:r>
        <w:rPr>
          <w:rFonts w:eastAsia="Times New Roman CYR" w:cs="Times New Roman"/>
          <w:color w:val="000000"/>
          <w:sz w:val="20"/>
          <w:szCs w:val="20"/>
        </w:rPr>
        <w:t xml:space="preserve">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69079F" w:rsidRDefault="0069079F" w:rsidP="009002C7">
      <w:pPr>
        <w:pStyle w:val="Standard"/>
        <w:numPr>
          <w:ilvl w:val="0"/>
          <w:numId w:val="6"/>
        </w:numPr>
        <w:autoSpaceDE w:val="0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</w:t>
      </w:r>
      <w:r w:rsidR="009002C7" w:rsidRPr="009002C7">
        <w:rPr>
          <w:rFonts w:eastAsia="Times New Roman CYR" w:cs="Times New Roman"/>
          <w:sz w:val="20"/>
          <w:szCs w:val="20"/>
        </w:rPr>
        <w:t>Выполнение работ в целях социального обеспечения граждан протезами, протезно-ортопедическими изделиями в 2024 году: аппараты на нижние конечности и туловище (ортез)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735"/>
        <w:gridCol w:w="1415"/>
      </w:tblGrid>
      <w:tr w:rsidR="00CF2095" w:rsidTr="00B07C3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DB0FDC" w:rsidTr="00B07C3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3A0D9A" w:rsidP="00DB0FDC">
            <w:pPr>
              <w:pStyle w:val="Standard"/>
              <w:keepNext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Аппарат на нижние конечности и туловища (ортез)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b/>
                <w:sz w:val="20"/>
                <w:szCs w:val="20"/>
              </w:rPr>
              <w:t>Аппарат на нижние конечности и туловище</w:t>
            </w:r>
            <w:r w:rsidRPr="003A0D9A">
              <w:rPr>
                <w:sz w:val="20"/>
                <w:szCs w:val="20"/>
              </w:rPr>
              <w:t xml:space="preserve"> должен изготавливаться по индивидуальному техническому процессу и состоять из аппаратов на обе нижние конечности, </w:t>
            </w:r>
            <w:r w:rsidRPr="003A0D9A">
              <w:rPr>
                <w:color w:val="000000"/>
                <w:sz w:val="20"/>
                <w:szCs w:val="20"/>
                <w:shd w:val="clear" w:color="auto" w:fill="FFFFFF"/>
              </w:rPr>
              <w:t>жестко</w:t>
            </w:r>
            <w:r w:rsidRPr="003A0D9A">
              <w:rPr>
                <w:color w:val="000000"/>
                <w:sz w:val="20"/>
                <w:szCs w:val="20"/>
              </w:rPr>
              <w:t xml:space="preserve"> </w:t>
            </w:r>
            <w:r w:rsidRPr="003A0D9A">
              <w:rPr>
                <w:color w:val="000000"/>
                <w:sz w:val="20"/>
                <w:szCs w:val="20"/>
                <w:shd w:val="clear" w:color="auto" w:fill="FFFFFF"/>
              </w:rPr>
              <w:t>соединенных металлическими тазобедренными шарнирами, которые должны фиксировать</w:t>
            </w:r>
            <w:r w:rsidRPr="003A0D9A">
              <w:rPr>
                <w:sz w:val="20"/>
                <w:szCs w:val="20"/>
              </w:rPr>
              <w:t xml:space="preserve"> всю ногу полностью с корсетом различных модификаций в зависимости от медицинских показаний, в том числе: 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b/>
                <w:sz w:val="20"/>
                <w:szCs w:val="20"/>
              </w:rPr>
              <w:t xml:space="preserve">- </w:t>
            </w:r>
            <w:r w:rsidRPr="003A0D9A">
              <w:rPr>
                <w:sz w:val="20"/>
                <w:szCs w:val="20"/>
              </w:rPr>
              <w:t xml:space="preserve">с функционально-корригирующим корсетом; 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с фиксирующим корсетом, требующим высокой фиксации туловища.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Все корсеты должны быть изготовлены по слепку из термопласта методом глубокой вакуумной вытяжки по индивидуальному техпроцессу с не менее чем двумя креплениями по передней поверхности. Крепления выполняются в виде ленты «Велкро» и металлической шлевки с кожаной основой. Пластиковая гильза корсета должна быть изготовлена из полиэтилена низкого давления толщиной от 4 мм (различной толщины, в зависимости от веса, антропометрических данных пациента, ригидности деформации) путем вакуумного формирования по позитиву. Функционально-корригирующий корсет должен быть</w:t>
            </w:r>
            <w:r w:rsidRPr="003A0D9A">
              <w:rPr>
                <w:b/>
                <w:sz w:val="20"/>
                <w:szCs w:val="20"/>
              </w:rPr>
              <w:t xml:space="preserve"> </w:t>
            </w:r>
            <w:r w:rsidRPr="003A0D9A">
              <w:rPr>
                <w:sz w:val="20"/>
                <w:szCs w:val="20"/>
              </w:rPr>
              <w:t xml:space="preserve">многозонального воздействия с несущей гильзой по слепку из термопласта сложной ассиметричной формы, форма гильзы должна определяться в соответствии с вариантом деформации, особенностями туловища пациента в местах давления и полостей разгрузки. 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Аппараты должны состоять из башмачка, гильз голени и бедра, гильзы на туловище. Башмачок и гильза голени, при необходимости, должны быть соединены шарнирно между собой. Гильза бедра должна крепиться к шинам, которые шарнирно соединены с шинами голени. В области коленного шарнира к шинам бедра должен быть прикреплен замок-дужка, который должен иметь тянку. Нижний конец тянки должен быть изготовлен из эластичной тесьмы и закреплен в нижней части гильзы голени. Под действием тесьмы замок должен всегда находиться в закрытом положении. Для открытия замка верхняя половина тянки должна быть закреплена на верхней части гильзы бедра. Натяжением тянки вверх дужка замка должна подниматься и открывать замок. Фиксация тазового пояса должна обеспечиваться гильзой корсета, соединенной металлическим вертлугом с гильзой бедра, что должно обеспечивать надежную фиксацию в вертикальном положении. Металлический вертлуг не должен препятствовать сгибанию и разгибанию, но должен ограничивать боковые движения таза. Крепления должны соединяться с корсетом пустотелыми заклепками. По желанию пациента изделие должно изготавливаться с дополнительными вентиляционными отверстиями.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b/>
                <w:sz w:val="20"/>
                <w:szCs w:val="20"/>
                <w:u w:val="single"/>
              </w:rPr>
              <w:t>Показания</w:t>
            </w:r>
            <w:r w:rsidRPr="003A0D9A">
              <w:rPr>
                <w:sz w:val="20"/>
                <w:szCs w:val="20"/>
              </w:rPr>
              <w:t xml:space="preserve">: 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- наличие сопутствующей сколиотической деформации различного генеза </w:t>
            </w:r>
            <w:r w:rsidRPr="003A0D9A">
              <w:rPr>
                <w:sz w:val="20"/>
                <w:szCs w:val="20"/>
                <w:lang w:val="en-US"/>
              </w:rPr>
              <w:t>II</w:t>
            </w:r>
            <w:r w:rsidRPr="003A0D9A">
              <w:rPr>
                <w:sz w:val="20"/>
                <w:szCs w:val="20"/>
              </w:rPr>
              <w:t xml:space="preserve"> и выше степени различной этиологии;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- наличие сопутствующей кифотической деформации </w:t>
            </w:r>
            <w:r w:rsidRPr="003A0D9A">
              <w:rPr>
                <w:sz w:val="20"/>
                <w:szCs w:val="20"/>
                <w:lang w:val="en-US"/>
              </w:rPr>
              <w:t>II</w:t>
            </w:r>
            <w:r w:rsidRPr="003A0D9A">
              <w:rPr>
                <w:sz w:val="20"/>
                <w:szCs w:val="20"/>
              </w:rPr>
              <w:t xml:space="preserve"> и </w:t>
            </w:r>
            <w:r w:rsidRPr="003A0D9A">
              <w:rPr>
                <w:sz w:val="20"/>
                <w:szCs w:val="20"/>
              </w:rPr>
              <w:lastRenderedPageBreak/>
              <w:t>выше степени;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спинальная амиотрофия;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паретический сколиоз;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травма позвоночника с деформацией позвоночного столба;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другие состояния, сопровождающиеся деформацией туловища и позвоночника;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травма позвоночника с повреждением спинного мозга на любом уровне;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заболевания спинного мозга и его оболочек без деформации позвоночника;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ДЦП, нижняя параплегия без сопутствующей деформации туловища, нижний парапарез без сопутствующих деформаций туловища;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другие заболевания и травмы нервной системы и/или опорно-двигательного аппарата, сопровождающиеся нарушением опорной функции нижних конечностей без деформации позвоночника (с сохранением физиологических изгибов позвоночника), требующие высокой фиксации туловища с удержанием равновесия;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другие заболевания и травмы нервной системы и/или опорно-двигательного аппарата, не требующие высокой фиксации туловища для удержания равновесия.</w:t>
            </w:r>
          </w:p>
          <w:p w:rsidR="00DB0FDC" w:rsidRPr="006F3469" w:rsidRDefault="003A0D9A" w:rsidP="003A0D9A">
            <w:pPr>
              <w:pStyle w:val="Textbod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Срок пользования (срок эксплуатации), установленный изготовителем, не менее 1 года.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3A0D9A" w:rsidP="00DB0FDC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197 527,37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6F6B7E" w:rsidP="00DB0F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B6B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6F6B7E" w:rsidP="00DB0F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1 975 273,70</w:t>
            </w:r>
          </w:p>
        </w:tc>
      </w:tr>
      <w:tr w:rsidR="00F967FE" w:rsidTr="00E01387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469" w:rsidRDefault="006E62B5" w:rsidP="006F3469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Должен соответствовать: </w:t>
            </w:r>
            <w:r w:rsidR="006F3469">
              <w:rPr>
                <w:sz w:val="20"/>
                <w:szCs w:val="20"/>
              </w:rPr>
              <w:t>ГОСТ ИСО 22523-2007, ГОСТ ISO 10</w:t>
            </w:r>
            <w:r w:rsidR="00CA510B">
              <w:rPr>
                <w:sz w:val="20"/>
                <w:szCs w:val="20"/>
              </w:rPr>
              <w:t>993-1-2021, ГОСТ ISO 10993-5-202</w:t>
            </w:r>
            <w:r w:rsidR="006F3469">
              <w:rPr>
                <w:sz w:val="20"/>
                <w:szCs w:val="20"/>
              </w:rPr>
              <w:t>1, ГОСТ ISO 10993-10-2011, ГОСТ ISO 10993-11-2021, ГОСТ Р 52770-2016.</w:t>
            </w:r>
          </w:p>
          <w:p w:rsidR="00F967FE" w:rsidRDefault="006F3469" w:rsidP="00BE749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 гарантии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12 месяцев.</w:t>
            </w:r>
          </w:p>
        </w:tc>
      </w:tr>
      <w:tr w:rsidR="00AF77A7" w:rsidTr="00B07C37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AF77A7" w:rsidP="00AF77A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6F6B7E" w:rsidP="006F6B7E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6F6B7E" w:rsidP="00AF77A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1 975 273,70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AF77A7" w:rsidRPr="00AF77A7" w:rsidRDefault="00AF77A7" w:rsidP="00241E9C">
      <w:pPr>
        <w:pStyle w:val="Standard"/>
        <w:autoSpaceDE w:val="0"/>
        <w:ind w:left="708"/>
        <w:jc w:val="both"/>
      </w:pPr>
    </w:p>
    <w:p w:rsidR="00CF2095" w:rsidRDefault="00CC0234" w:rsidP="009002C7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</w:t>
      </w:r>
      <w:r w:rsidR="009002C7" w:rsidRPr="009002C7">
        <w:rPr>
          <w:rFonts w:cs="Times New Roman"/>
          <w:sz w:val="20"/>
          <w:szCs w:val="20"/>
        </w:rPr>
        <w:t>Бюджет Фонда пенсионного и социального страхования РФ</w:t>
      </w:r>
      <w:r>
        <w:rPr>
          <w:rFonts w:cs="Times New Roman"/>
          <w:sz w:val="20"/>
          <w:szCs w:val="20"/>
        </w:rPr>
        <w:t>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>Начальная</w:t>
      </w:r>
      <w:r w:rsidR="00E436C9">
        <w:rPr>
          <w:rFonts w:eastAsia="Times New Roman CYR" w:cs="Times New Roman"/>
          <w:b/>
          <w:bCs/>
          <w:sz w:val="20"/>
          <w:szCs w:val="20"/>
        </w:rPr>
        <w:t xml:space="preserve"> (максимал</w:t>
      </w:r>
      <w:r w:rsidR="005808A4">
        <w:rPr>
          <w:rFonts w:eastAsia="Times New Roman CYR" w:cs="Times New Roman"/>
          <w:b/>
          <w:bCs/>
          <w:sz w:val="20"/>
          <w:szCs w:val="20"/>
        </w:rPr>
        <w:t>ьна</w:t>
      </w:r>
      <w:r w:rsidR="003A0D9A">
        <w:rPr>
          <w:rFonts w:eastAsia="Times New Roman CYR" w:cs="Times New Roman"/>
          <w:b/>
          <w:bCs/>
          <w:sz w:val="20"/>
          <w:szCs w:val="20"/>
        </w:rPr>
        <w:t xml:space="preserve">я) </w:t>
      </w:r>
      <w:r w:rsidR="006F6B7E">
        <w:rPr>
          <w:rFonts w:eastAsia="Times New Roman CYR" w:cs="Times New Roman"/>
          <w:b/>
          <w:bCs/>
          <w:sz w:val="20"/>
          <w:szCs w:val="20"/>
        </w:rPr>
        <w:t>цена контракта: 1 975 273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 xml:space="preserve">рубля </w:t>
      </w:r>
      <w:r w:rsidR="006F6B7E">
        <w:rPr>
          <w:rFonts w:eastAsia="Times New Roman CYR" w:cs="Times New Roman"/>
          <w:b/>
          <w:bCs/>
          <w:sz w:val="20"/>
          <w:szCs w:val="20"/>
        </w:rPr>
        <w:t>7</w:t>
      </w:r>
      <w:r w:rsidR="003A0D9A">
        <w:rPr>
          <w:rFonts w:eastAsia="Times New Roman CYR" w:cs="Times New Roman"/>
          <w:b/>
          <w:bCs/>
          <w:sz w:val="20"/>
          <w:szCs w:val="20"/>
        </w:rPr>
        <w:t>0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3A0D9A">
        <w:rPr>
          <w:rFonts w:cs="Times New Roman"/>
          <w:i/>
          <w:sz w:val="20"/>
          <w:szCs w:val="20"/>
        </w:rPr>
        <w:t>аппаратов на</w:t>
      </w:r>
      <w:r>
        <w:rPr>
          <w:rFonts w:cs="Times New Roman"/>
          <w:i/>
          <w:sz w:val="20"/>
          <w:szCs w:val="20"/>
        </w:rPr>
        <w:t xml:space="preserve"> </w:t>
      </w:r>
      <w:r w:rsidR="003A0D9A">
        <w:rPr>
          <w:rFonts w:cs="Times New Roman"/>
          <w:i/>
          <w:sz w:val="20"/>
          <w:szCs w:val="20"/>
        </w:rPr>
        <w:t>нижние конечности и туловища (ортез)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 w:rsidP="00EE7FAD">
      <w:pPr>
        <w:pStyle w:val="ae"/>
        <w:numPr>
          <w:ilvl w:val="0"/>
          <w:numId w:val="3"/>
        </w:numPr>
        <w:jc w:val="both"/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</w:t>
      </w:r>
      <w:r w:rsidR="006F6B7E">
        <w:rPr>
          <w:rFonts w:cs="Times New Roman"/>
          <w:sz w:val="20"/>
          <w:szCs w:val="20"/>
        </w:rPr>
        <w:t>е «15</w:t>
      </w:r>
      <w:r w:rsidR="00841335">
        <w:rPr>
          <w:rFonts w:cs="Times New Roman"/>
          <w:sz w:val="20"/>
          <w:szCs w:val="20"/>
        </w:rPr>
        <w:t>» сентября 2024</w:t>
      </w:r>
      <w:r>
        <w:rPr>
          <w:rFonts w:cs="Times New Roman"/>
          <w:sz w:val="20"/>
          <w:szCs w:val="20"/>
        </w:rPr>
        <w:t xml:space="preserve">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</w:t>
      </w:r>
      <w:r w:rsidR="006F3469" w:rsidRPr="00F24D6A">
        <w:rPr>
          <w:sz w:val="20"/>
          <w:szCs w:val="20"/>
        </w:rPr>
        <w:t>30% от начальной (максимальной) цены контракта. В случае осуществления закупки в соответствии с п. 1 ч. 1 ст. 30 Закона 44-ФЗ, итоговый размер обеспечения исполнения контракта устанавливается от цены, по которой заключается контракт (ч. 6.2 ст. 96 Закона 44-ФЗ).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Pr="003A0D9A" w:rsidRDefault="00CF2095" w:rsidP="003A0D9A">
      <w:pPr>
        <w:rPr>
          <w:rFonts w:eastAsia="Times New Roman CYR" w:cs="Times New Roman"/>
          <w:sz w:val="20"/>
          <w:szCs w:val="20"/>
        </w:rPr>
      </w:pPr>
    </w:p>
    <w:p w:rsidR="00CF2095" w:rsidRDefault="00841335">
      <w:pPr>
        <w:pStyle w:val="ae"/>
        <w:suppressAutoHyphens w:val="0"/>
        <w:autoSpaceDE w:val="0"/>
        <w:spacing w:line="240" w:lineRule="atLeast"/>
        <w:ind w:left="0"/>
        <w:jc w:val="center"/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</w:pP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 xml:space="preserve">        Н</w:t>
      </w:r>
      <w:r w:rsidR="005021B1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>ачальник ОСП</w:t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 xml:space="preserve">     </w:t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           </w:t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 xml:space="preserve">                </w:t>
      </w:r>
      <w:r w:rsidR="00CC0234"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 xml:space="preserve">Н.С. Протопопова </w:t>
      </w:r>
    </w:p>
    <w:p w:rsidR="00CF2095" w:rsidRDefault="00CF2095" w:rsidP="00841335">
      <w:pPr>
        <w:pStyle w:val="Standard"/>
        <w:autoSpaceDE w:val="0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D2" w:rsidRDefault="008130D2">
      <w:r>
        <w:separator/>
      </w:r>
    </w:p>
  </w:endnote>
  <w:endnote w:type="continuationSeparator" w:id="0">
    <w:p w:rsidR="008130D2" w:rsidRDefault="0081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D2" w:rsidRDefault="008130D2">
      <w:r>
        <w:rPr>
          <w:color w:val="000000"/>
        </w:rPr>
        <w:separator/>
      </w:r>
    </w:p>
  </w:footnote>
  <w:footnote w:type="continuationSeparator" w:id="0">
    <w:p w:rsidR="008130D2" w:rsidRDefault="0081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602"/>
    <w:multiLevelType w:val="multilevel"/>
    <w:tmpl w:val="0562E9EA"/>
    <w:lvl w:ilvl="0">
      <w:start w:val="1"/>
      <w:numFmt w:val="decimal"/>
      <w:lvlText w:val="%1."/>
      <w:lvlJc w:val="left"/>
      <w:pPr>
        <w:ind w:left="128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652D4"/>
    <w:rsid w:val="000936EA"/>
    <w:rsid w:val="000A519E"/>
    <w:rsid w:val="000C1EAC"/>
    <w:rsid w:val="00102755"/>
    <w:rsid w:val="00115E7D"/>
    <w:rsid w:val="00197F02"/>
    <w:rsid w:val="001D1452"/>
    <w:rsid w:val="001F7964"/>
    <w:rsid w:val="00241E9C"/>
    <w:rsid w:val="002841B7"/>
    <w:rsid w:val="002C10DB"/>
    <w:rsid w:val="003642E3"/>
    <w:rsid w:val="003A0D9A"/>
    <w:rsid w:val="003A48E6"/>
    <w:rsid w:val="003B7AC9"/>
    <w:rsid w:val="00404D3A"/>
    <w:rsid w:val="0047162E"/>
    <w:rsid w:val="0048596A"/>
    <w:rsid w:val="004B11D7"/>
    <w:rsid w:val="004D273D"/>
    <w:rsid w:val="004F6B59"/>
    <w:rsid w:val="005021B1"/>
    <w:rsid w:val="005350C7"/>
    <w:rsid w:val="005808A4"/>
    <w:rsid w:val="005C38D4"/>
    <w:rsid w:val="005D756A"/>
    <w:rsid w:val="00600F9F"/>
    <w:rsid w:val="00685B13"/>
    <w:rsid w:val="0069079F"/>
    <w:rsid w:val="006A3784"/>
    <w:rsid w:val="006E62B5"/>
    <w:rsid w:val="006F3469"/>
    <w:rsid w:val="006F6B7E"/>
    <w:rsid w:val="00747DCF"/>
    <w:rsid w:val="007821D2"/>
    <w:rsid w:val="007B35E0"/>
    <w:rsid w:val="007C4431"/>
    <w:rsid w:val="008130D2"/>
    <w:rsid w:val="00841335"/>
    <w:rsid w:val="008A73E5"/>
    <w:rsid w:val="008B2F08"/>
    <w:rsid w:val="009002C7"/>
    <w:rsid w:val="00903452"/>
    <w:rsid w:val="00943297"/>
    <w:rsid w:val="009A2F1C"/>
    <w:rsid w:val="009B6BF0"/>
    <w:rsid w:val="009D5E74"/>
    <w:rsid w:val="00A04F1A"/>
    <w:rsid w:val="00A12C34"/>
    <w:rsid w:val="00A64448"/>
    <w:rsid w:val="00A6681E"/>
    <w:rsid w:val="00A85FC5"/>
    <w:rsid w:val="00A9153D"/>
    <w:rsid w:val="00AF5A0E"/>
    <w:rsid w:val="00AF77A7"/>
    <w:rsid w:val="00B07C37"/>
    <w:rsid w:val="00B8032B"/>
    <w:rsid w:val="00BA0474"/>
    <w:rsid w:val="00BB467E"/>
    <w:rsid w:val="00BE7493"/>
    <w:rsid w:val="00C1741B"/>
    <w:rsid w:val="00C240DB"/>
    <w:rsid w:val="00C908C6"/>
    <w:rsid w:val="00CA510B"/>
    <w:rsid w:val="00CC0234"/>
    <w:rsid w:val="00CF2095"/>
    <w:rsid w:val="00CF735F"/>
    <w:rsid w:val="00D333A0"/>
    <w:rsid w:val="00D46DD5"/>
    <w:rsid w:val="00D63BEC"/>
    <w:rsid w:val="00DB0FDC"/>
    <w:rsid w:val="00DB65E2"/>
    <w:rsid w:val="00DC2CEF"/>
    <w:rsid w:val="00DE68BB"/>
    <w:rsid w:val="00E06416"/>
    <w:rsid w:val="00E436C9"/>
    <w:rsid w:val="00E8773B"/>
    <w:rsid w:val="00EA3AA1"/>
    <w:rsid w:val="00EB1ADF"/>
    <w:rsid w:val="00EE7FAD"/>
    <w:rsid w:val="00F506EF"/>
    <w:rsid w:val="00F77B11"/>
    <w:rsid w:val="00F93AC3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CEA1-3F1A-4738-8049-6BC09066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Матвеев Василий Васильевич</cp:lastModifiedBy>
  <cp:revision>60</cp:revision>
  <cp:lastPrinted>2022-08-11T05:16:00Z</cp:lastPrinted>
  <dcterms:created xsi:type="dcterms:W3CDTF">2022-06-29T01:32:00Z</dcterms:created>
  <dcterms:modified xsi:type="dcterms:W3CDTF">2024-03-11T08:34:00Z</dcterms:modified>
</cp:coreProperties>
</file>