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F5" w:rsidRPr="00B245FA" w:rsidRDefault="007776F5" w:rsidP="007776F5">
      <w:pPr>
        <w:suppressAutoHyphens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B245FA">
        <w:rPr>
          <w:rFonts w:ascii="Times New Roman" w:hAnsi="Times New Roman" w:cs="Times New Roman"/>
          <w:b/>
          <w:sz w:val="22"/>
          <w:szCs w:val="22"/>
        </w:rPr>
        <w:t xml:space="preserve">Описание объекта закупки на </w:t>
      </w:r>
      <w:r w:rsidRPr="00B245FA">
        <w:rPr>
          <w:rFonts w:ascii="Times New Roman" w:hAnsi="Times New Roman" w:cs="Times New Roman"/>
          <w:b/>
          <w:color w:val="000000"/>
          <w:sz w:val="22"/>
          <w:szCs w:val="22"/>
        </w:rPr>
        <w:t>выполнение работ</w:t>
      </w:r>
      <w:r w:rsidRPr="00B245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45FA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по изготовлению </w:t>
      </w:r>
      <w:r w:rsidRPr="00B245FA">
        <w:rPr>
          <w:rFonts w:ascii="Times New Roman" w:hAnsi="Times New Roman" w:cs="Times New Roman"/>
          <w:b/>
          <w:sz w:val="22"/>
          <w:szCs w:val="22"/>
        </w:rPr>
        <w:t>протезов нижних конечностей в 2024 году.</w:t>
      </w:r>
    </w:p>
    <w:tbl>
      <w:tblPr>
        <w:tblW w:w="102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/>
      </w:tblPr>
      <w:tblGrid>
        <w:gridCol w:w="568"/>
        <w:gridCol w:w="1818"/>
        <w:gridCol w:w="7028"/>
        <w:gridCol w:w="851"/>
      </w:tblGrid>
      <w:tr w:rsidR="007776F5" w:rsidRPr="00B245FA" w:rsidTr="007F7045">
        <w:trPr>
          <w:trHeight w:val="467"/>
        </w:trPr>
        <w:tc>
          <w:tcPr>
            <w:tcW w:w="568" w:type="dxa"/>
          </w:tcPr>
          <w:p w:rsidR="007776F5" w:rsidRPr="00B245FA" w:rsidRDefault="007776F5" w:rsidP="007F7045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45F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45F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245F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245F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18" w:type="dxa"/>
          </w:tcPr>
          <w:p w:rsidR="007776F5" w:rsidRPr="00B245FA" w:rsidRDefault="007776F5" w:rsidP="007F7045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45F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28" w:type="dxa"/>
          </w:tcPr>
          <w:p w:rsidR="007776F5" w:rsidRPr="00B245FA" w:rsidRDefault="007776F5" w:rsidP="007F7045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45F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  <w:tcMar>
              <w:right w:w="227" w:type="dxa"/>
            </w:tcMar>
          </w:tcPr>
          <w:p w:rsidR="007776F5" w:rsidRPr="00B245FA" w:rsidRDefault="007776F5" w:rsidP="007F7045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45F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7776F5" w:rsidRPr="00B245FA" w:rsidRDefault="007776F5" w:rsidP="007F7045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45F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(шт.)</w:t>
            </w:r>
          </w:p>
        </w:tc>
      </w:tr>
      <w:tr w:rsidR="007776F5" w:rsidRPr="00E334F1" w:rsidTr="007F7045">
        <w:trPr>
          <w:trHeight w:val="498"/>
        </w:trPr>
        <w:tc>
          <w:tcPr>
            <w:tcW w:w="568" w:type="dxa"/>
          </w:tcPr>
          <w:p w:rsidR="007776F5" w:rsidRPr="00E334F1" w:rsidRDefault="007776F5" w:rsidP="007776F5">
            <w:pPr>
              <w:numPr>
                <w:ilvl w:val="0"/>
                <w:numId w:val="1"/>
              </w:numPr>
              <w:tabs>
                <w:tab w:val="left" w:pos="539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7776F5" w:rsidRPr="00E334F1" w:rsidRDefault="007776F5" w:rsidP="007F70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4F1">
              <w:rPr>
                <w:rFonts w:ascii="Times New Roman" w:hAnsi="Times New Roman" w:cs="Times New Roman"/>
                <w:bCs/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  <w:p w:rsidR="007776F5" w:rsidRPr="00E334F1" w:rsidRDefault="007776F5" w:rsidP="007F7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:rsidR="007776F5" w:rsidRPr="00E334F1" w:rsidRDefault="007776F5" w:rsidP="007F7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:rsidR="007776F5" w:rsidRPr="00E334F1" w:rsidRDefault="007776F5" w:rsidP="007F7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28" w:type="dxa"/>
          </w:tcPr>
          <w:p w:rsidR="007776F5" w:rsidRPr="00E334F1" w:rsidRDefault="007776F5" w:rsidP="007F7045">
            <w:pPr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gramStart"/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Протез голени модульный должен соответствовать характеристикам: облицовка должна быть мягкая полиуретановая (листовой 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олон), покрытие облицовки должно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быть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чулков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силоновых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ортопедических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; гильза должна быть индивидуального изготовления по индивидуальному слепку с культи гражданина; постоянная гильза должна быть из слоистого пластика на основе акриловых смол; без вкладной гильзы, чехол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должен быть полимерным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гелевым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средней плотности;</w:t>
            </w:r>
            <w:proofErr w:type="gramEnd"/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крепление протеза голени на гражданине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 быть 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с использованием замка для полимерных чехлов; </w:t>
            </w:r>
            <w:proofErr w:type="spellStart"/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регулировоч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–соединительные устройства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должны соответствовать весу инвалида, стопа должна быть с голеностопным шарниром, тип протеза по назначению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должен быть 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постоянный.</w:t>
            </w:r>
          </w:p>
        </w:tc>
        <w:tc>
          <w:tcPr>
            <w:tcW w:w="851" w:type="dxa"/>
            <w:tcMar>
              <w:right w:w="227" w:type="dxa"/>
            </w:tcMar>
          </w:tcPr>
          <w:p w:rsidR="007776F5" w:rsidRPr="00E334F1" w:rsidRDefault="007776F5" w:rsidP="007F7045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3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7776F5" w:rsidRPr="00E334F1" w:rsidTr="007F7045">
        <w:trPr>
          <w:trHeight w:val="498"/>
        </w:trPr>
        <w:tc>
          <w:tcPr>
            <w:tcW w:w="568" w:type="dxa"/>
          </w:tcPr>
          <w:p w:rsidR="007776F5" w:rsidRPr="00E334F1" w:rsidRDefault="007776F5" w:rsidP="007776F5">
            <w:pPr>
              <w:numPr>
                <w:ilvl w:val="0"/>
                <w:numId w:val="1"/>
              </w:numPr>
              <w:tabs>
                <w:tab w:val="left" w:pos="539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7776F5" w:rsidRPr="00E334F1" w:rsidRDefault="007776F5" w:rsidP="007F70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4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Протез голени модульный, в том числе при недоразвитии </w:t>
            </w:r>
          </w:p>
          <w:p w:rsidR="007776F5" w:rsidRPr="00E334F1" w:rsidRDefault="007776F5" w:rsidP="007F70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76F5" w:rsidRPr="00E334F1" w:rsidRDefault="007776F5" w:rsidP="007F70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28" w:type="dxa"/>
          </w:tcPr>
          <w:p w:rsidR="007776F5" w:rsidRPr="00E334F1" w:rsidRDefault="007776F5" w:rsidP="007F7045">
            <w:pPr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Протез голени модульный должен соответствовать характеристикам: облицовка должна быть мягкая полиуретановая (листовой 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олон), покрытие облицовки должно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быть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чулков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силоновых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ортопедических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; гильза должна быть индивидуального изготовления по индивидуальному слепку с культи гражданина; постоянная гильза должна быть из слоистого пластика на основе акриловых смол; без вкладной гильзы, чехол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должен быть полимерным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гелевым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средней плотности;</w:t>
            </w:r>
            <w:proofErr w:type="gramEnd"/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крепление протеза голени на гражданине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 быть 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с использованием замка для полимерных чехлов; </w:t>
            </w:r>
            <w:proofErr w:type="spellStart"/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регулировоч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–соединительные устройства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должны соответствовать весу инвалида, стопа должна быть с голеностопным шарниром, тип протеза по назначению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должен быть 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постоянный.</w:t>
            </w:r>
          </w:p>
        </w:tc>
        <w:tc>
          <w:tcPr>
            <w:tcW w:w="851" w:type="dxa"/>
            <w:tcMar>
              <w:right w:w="227" w:type="dxa"/>
            </w:tcMar>
          </w:tcPr>
          <w:p w:rsidR="007776F5" w:rsidRPr="00E334F1" w:rsidRDefault="007776F5" w:rsidP="007F7045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776F5" w:rsidRPr="00E334F1" w:rsidTr="007F7045">
        <w:trPr>
          <w:trHeight w:val="498"/>
        </w:trPr>
        <w:tc>
          <w:tcPr>
            <w:tcW w:w="568" w:type="dxa"/>
          </w:tcPr>
          <w:p w:rsidR="007776F5" w:rsidRPr="00E334F1" w:rsidRDefault="007776F5" w:rsidP="007776F5">
            <w:pPr>
              <w:numPr>
                <w:ilvl w:val="0"/>
                <w:numId w:val="1"/>
              </w:numPr>
              <w:tabs>
                <w:tab w:val="left" w:pos="539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7776F5" w:rsidRPr="00E334F1" w:rsidRDefault="007776F5" w:rsidP="007F70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4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Протез голени модульный, в том числе при недоразвитии </w:t>
            </w:r>
          </w:p>
          <w:p w:rsidR="007776F5" w:rsidRPr="00E334F1" w:rsidRDefault="007776F5" w:rsidP="007F70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76F5" w:rsidRPr="00E334F1" w:rsidRDefault="007776F5" w:rsidP="007F70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28" w:type="dxa"/>
          </w:tcPr>
          <w:p w:rsidR="007776F5" w:rsidRPr="00E334F1" w:rsidRDefault="007776F5" w:rsidP="007F7045">
            <w:pPr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Протез голени модульный должен соответствовать характеристикам: облицовка должна быть мягкая полиуретановая (листовой 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олон), покрытие облицовки должно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быть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чулков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силоновых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ортопедических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; гильза должна быть индивидуального изготовления по индивидуальному слепку с культи гражданина; постоянная гильза должна быть из слоистого пластика на основе акриловых смол; без вкладной гильзы, чехол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должен быть полимерным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гелевым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средней плотности;</w:t>
            </w:r>
            <w:proofErr w:type="gramEnd"/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крепление протеза голени на гражданине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 быть 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с использованием замка для полимерных чехлов; </w:t>
            </w:r>
            <w:proofErr w:type="spellStart"/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регулировоч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–соединительные устройства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должны соответствовать весу инвалида, стопа должна быть с голеностопным шарниром, тип протеза по назначению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должен быть 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постоянный. </w:t>
            </w:r>
          </w:p>
        </w:tc>
        <w:tc>
          <w:tcPr>
            <w:tcW w:w="851" w:type="dxa"/>
            <w:tcMar>
              <w:right w:w="227" w:type="dxa"/>
            </w:tcMar>
          </w:tcPr>
          <w:p w:rsidR="007776F5" w:rsidRPr="00E334F1" w:rsidRDefault="007776F5" w:rsidP="007F7045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776F5" w:rsidRPr="00E334F1" w:rsidTr="007F7045">
        <w:trPr>
          <w:trHeight w:val="498"/>
        </w:trPr>
        <w:tc>
          <w:tcPr>
            <w:tcW w:w="568" w:type="dxa"/>
          </w:tcPr>
          <w:p w:rsidR="007776F5" w:rsidRPr="00E334F1" w:rsidRDefault="007776F5" w:rsidP="007776F5">
            <w:pPr>
              <w:numPr>
                <w:ilvl w:val="0"/>
                <w:numId w:val="1"/>
              </w:numPr>
              <w:tabs>
                <w:tab w:val="left" w:pos="539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7776F5" w:rsidRPr="00E334F1" w:rsidRDefault="007776F5" w:rsidP="007F70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4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Протез голени модульный, в том числе при недоразвитии </w:t>
            </w:r>
          </w:p>
          <w:p w:rsidR="007776F5" w:rsidRPr="00E334F1" w:rsidRDefault="007776F5" w:rsidP="007F704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776F5" w:rsidRPr="00E334F1" w:rsidRDefault="007776F5" w:rsidP="007F70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28" w:type="dxa"/>
          </w:tcPr>
          <w:p w:rsidR="007776F5" w:rsidRPr="00E334F1" w:rsidRDefault="007776F5" w:rsidP="007F7045">
            <w:pPr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Протез голени модульный должен соответствовать характеристикам: облицовка должна быть мягкая полиуретановая (листовой 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олон), покрытие облицовки должно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быть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чулков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силоновых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ортопедических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; гильза должна быть индивидуального изготовления по индивидуальному слепку с культи гражданина; постоянная гильза должна быть из слоистого пластика на основе акриловых смол; без вкладной гильзы, чехол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должен быть полимерным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гелевым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средней плотности;</w:t>
            </w:r>
            <w:proofErr w:type="gramEnd"/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крепление протеза голени на гражданине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 быть 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с использованием замка для полимерных чехлов; </w:t>
            </w:r>
            <w:proofErr w:type="spellStart"/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регулировоч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–соединительные устройства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должны соответствовать весу инвалида, стопа должна быть с голеностопным шарниром, тип протеза по назначению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должен быть 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постоянный.</w:t>
            </w:r>
          </w:p>
        </w:tc>
        <w:tc>
          <w:tcPr>
            <w:tcW w:w="851" w:type="dxa"/>
            <w:tcMar>
              <w:right w:w="227" w:type="dxa"/>
            </w:tcMar>
          </w:tcPr>
          <w:p w:rsidR="007776F5" w:rsidRPr="00E334F1" w:rsidRDefault="007776F5" w:rsidP="007F7045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776F5" w:rsidRPr="00E334F1" w:rsidTr="007F7045">
        <w:trPr>
          <w:trHeight w:val="498"/>
        </w:trPr>
        <w:tc>
          <w:tcPr>
            <w:tcW w:w="568" w:type="dxa"/>
          </w:tcPr>
          <w:p w:rsidR="007776F5" w:rsidRPr="00E334F1" w:rsidRDefault="007776F5" w:rsidP="007776F5">
            <w:pPr>
              <w:numPr>
                <w:ilvl w:val="0"/>
                <w:numId w:val="1"/>
              </w:numPr>
              <w:tabs>
                <w:tab w:val="left" w:pos="539"/>
              </w:tabs>
              <w:suppressAutoHyphens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7776F5" w:rsidRPr="00E334F1" w:rsidRDefault="007776F5" w:rsidP="007F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4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Протез голени модульный, в том числе при </w:t>
            </w:r>
            <w:r w:rsidRPr="00E334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недоразвитии</w:t>
            </w:r>
          </w:p>
          <w:p w:rsidR="007776F5" w:rsidRPr="00E334F1" w:rsidRDefault="007776F5" w:rsidP="007F704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28" w:type="dxa"/>
          </w:tcPr>
          <w:p w:rsidR="007776F5" w:rsidRPr="00E334F1" w:rsidRDefault="007776F5" w:rsidP="007F7045">
            <w:pPr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4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Протез голени модульный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должен соответствовать характеристикам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: облицовка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должна быть мягкой полиуретановой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(листовой поролон), покрытие облицовки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должно быть с использованием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чулков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силоновых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ортопедических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; гильза индивидуального изготовления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должна быть 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индивидуальному слепку с культи; постоянная гильза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должна быть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из слоистого пластика на основе акриловых смол; вкладная гильза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должна быть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из вспененных материалов; крепление протеза голени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должно быть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с использованием кожаных полуфабрик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атов (без шин);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регулировочно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соединительные устройства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должны соответствовать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весу гражданина, стопа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должна быть 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>на основе карбонового волокна с разделенной передней частью для улучшения сцепле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с поверхностью, обеспечивающая</w:t>
            </w:r>
            <w:r w:rsidRPr="00E334F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контролируемых движений и максимальную нагрузку.</w:t>
            </w:r>
          </w:p>
        </w:tc>
        <w:tc>
          <w:tcPr>
            <w:tcW w:w="851" w:type="dxa"/>
            <w:tcMar>
              <w:right w:w="227" w:type="dxa"/>
            </w:tcMar>
          </w:tcPr>
          <w:p w:rsidR="007776F5" w:rsidRPr="00E334F1" w:rsidRDefault="007776F5" w:rsidP="007F7045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4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</w:tr>
      <w:tr w:rsidR="007776F5" w:rsidRPr="00E334F1" w:rsidTr="007F7045">
        <w:trPr>
          <w:trHeight w:val="326"/>
        </w:trPr>
        <w:tc>
          <w:tcPr>
            <w:tcW w:w="9414" w:type="dxa"/>
            <w:gridSpan w:val="3"/>
          </w:tcPr>
          <w:p w:rsidR="007776F5" w:rsidRPr="0039724A" w:rsidRDefault="007776F5" w:rsidP="007F7045">
            <w:pPr>
              <w:autoSpaceDE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24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851" w:type="dxa"/>
            <w:tcMar>
              <w:right w:w="227" w:type="dxa"/>
            </w:tcMar>
          </w:tcPr>
          <w:p w:rsidR="007776F5" w:rsidRPr="00E334F1" w:rsidRDefault="007776F5" w:rsidP="007F7045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7776F5" w:rsidRPr="00E334F1" w:rsidRDefault="007776F5" w:rsidP="007776F5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334F1">
        <w:rPr>
          <w:rFonts w:ascii="Times New Roman" w:hAnsi="Times New Roman" w:cs="Times New Roman"/>
          <w:sz w:val="22"/>
          <w:szCs w:val="22"/>
        </w:rPr>
        <w:t xml:space="preserve">Протезирование нижних конечностей - процесс, заключающийся в проведении комплекса </w:t>
      </w:r>
      <w:r w:rsidRPr="00E334F1">
        <w:rPr>
          <w:rFonts w:ascii="Times New Roman" w:hAnsi="Times New Roman" w:cs="Times New Roman"/>
          <w:sz w:val="22"/>
          <w:szCs w:val="22"/>
          <w:lang w:eastAsia="ar-SA"/>
        </w:rPr>
        <w:t>Протезирование нижних конечностей - процесс, заключающийся в проведении комплекса медицинских, технических и организационных мероприятий, направленных на восстановление функциональных возможностей пациента, осуществляемый с использованием замены утраченной нижней конечности искусственным эквивалентом (протезом), с максимальным сохранением индивидуальных особенностей пациента.</w:t>
      </w:r>
    </w:p>
    <w:p w:rsidR="007776F5" w:rsidRPr="00E334F1" w:rsidRDefault="007776F5" w:rsidP="007776F5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334F1">
        <w:rPr>
          <w:rFonts w:ascii="Times New Roman" w:hAnsi="Times New Roman" w:cs="Times New Roman"/>
          <w:sz w:val="22"/>
          <w:szCs w:val="22"/>
          <w:lang w:eastAsia="ar-SA"/>
        </w:rPr>
        <w:t xml:space="preserve">Протез нижней конечности должен соответствовать требованиям Государственного стандарта РФ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ГОСТ 59542-2021 «Реабилитационные мероприятия. Услуги по обучению пользованию протезом нижней конечности», </w:t>
      </w:r>
      <w:r w:rsidRPr="00E334F1">
        <w:rPr>
          <w:rFonts w:ascii="Times New Roman" w:hAnsi="Times New Roman" w:cs="Times New Roman"/>
          <w:sz w:val="22"/>
          <w:szCs w:val="22"/>
          <w:lang w:eastAsia="ar-SA"/>
        </w:rPr>
        <w:t xml:space="preserve">ГОСТ </w:t>
      </w:r>
      <w:proofErr w:type="gramStart"/>
      <w:r w:rsidRPr="00E334F1">
        <w:rPr>
          <w:rFonts w:ascii="Times New Roman" w:hAnsi="Times New Roman" w:cs="Times New Roman"/>
          <w:sz w:val="22"/>
          <w:szCs w:val="22"/>
          <w:lang w:eastAsia="ar-SA"/>
        </w:rPr>
        <w:t>Р</w:t>
      </w:r>
      <w:proofErr w:type="gramEnd"/>
      <w:r w:rsidRPr="00E334F1">
        <w:rPr>
          <w:rFonts w:ascii="Times New Roman" w:hAnsi="Times New Roman" w:cs="Times New Roman"/>
          <w:sz w:val="22"/>
          <w:szCs w:val="22"/>
          <w:lang w:eastAsia="ar-SA"/>
        </w:rPr>
        <w:t xml:space="preserve"> 51632-2021, ГОСТ Р 51819-22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</w:t>
      </w:r>
      <w:r w:rsidRPr="00E334F1">
        <w:rPr>
          <w:rFonts w:ascii="Times New Roman" w:hAnsi="Times New Roman" w:cs="Times New Roman"/>
          <w:sz w:val="22"/>
          <w:szCs w:val="22"/>
          <w:lang w:eastAsia="ar-SA"/>
        </w:rPr>
        <w:t xml:space="preserve">«Протезирование и </w:t>
      </w:r>
      <w:proofErr w:type="spellStart"/>
      <w:r w:rsidRPr="00E334F1">
        <w:rPr>
          <w:rFonts w:ascii="Times New Roman" w:hAnsi="Times New Roman" w:cs="Times New Roman"/>
          <w:sz w:val="22"/>
          <w:szCs w:val="22"/>
          <w:lang w:eastAsia="ar-SA"/>
        </w:rPr>
        <w:t>ортезировани</w:t>
      </w:r>
      <w:r>
        <w:rPr>
          <w:rFonts w:ascii="Times New Roman" w:hAnsi="Times New Roman" w:cs="Times New Roman"/>
          <w:sz w:val="22"/>
          <w:szCs w:val="22"/>
          <w:lang w:eastAsia="ar-SA"/>
        </w:rPr>
        <w:t>е</w:t>
      </w:r>
      <w:proofErr w:type="spellEnd"/>
      <w:r>
        <w:rPr>
          <w:rFonts w:ascii="Times New Roman" w:hAnsi="Times New Roman" w:cs="Times New Roman"/>
          <w:sz w:val="22"/>
          <w:szCs w:val="22"/>
          <w:lang w:eastAsia="ar-SA"/>
        </w:rPr>
        <w:t xml:space="preserve"> верхних и нижних конечностей</w:t>
      </w:r>
      <w:r w:rsidRPr="00E334F1">
        <w:rPr>
          <w:rFonts w:ascii="Times New Roman" w:hAnsi="Times New Roman" w:cs="Times New Roman"/>
          <w:sz w:val="22"/>
          <w:szCs w:val="22"/>
          <w:lang w:eastAsia="ar-SA"/>
        </w:rPr>
        <w:t>».</w:t>
      </w:r>
    </w:p>
    <w:p w:rsidR="007776F5" w:rsidRPr="00E334F1" w:rsidRDefault="007776F5" w:rsidP="007776F5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334F1">
        <w:rPr>
          <w:rFonts w:ascii="Times New Roman" w:hAnsi="Times New Roman" w:cs="Times New Roman"/>
          <w:sz w:val="22"/>
          <w:szCs w:val="22"/>
          <w:lang w:eastAsia="ar-SA"/>
        </w:rPr>
        <w:t xml:space="preserve">Выполняемые работы по обеспечению протезом нижней конечности должны содержать комплекс медицинских, технических и социальных мероприятий, проводимых с пациентами, имеющими нарушения и дефекты опорно-двигательного аппарата, в целях восстановления или компенсации ограничений их жизнедеятельности. </w:t>
      </w:r>
    </w:p>
    <w:p w:rsidR="007776F5" w:rsidRPr="00E334F1" w:rsidRDefault="007776F5" w:rsidP="007776F5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334F1">
        <w:rPr>
          <w:rFonts w:ascii="Times New Roman" w:hAnsi="Times New Roman" w:cs="Times New Roman"/>
          <w:sz w:val="22"/>
          <w:szCs w:val="22"/>
          <w:lang w:eastAsia="ar-SA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пациента с помощью протеза нижней конечности. Работы по обеспечению протезом должны быть эффективно исполнены, у Получателя: должны быть восстановлены опорная и двигательная функции конечности, должны быть созданы условия для предупреждения развития деформации и благоприятного течения болезни. Работы по обеспечению протезом должны выполняться с надлежащим качеством и в установленные сроки.</w:t>
      </w:r>
    </w:p>
    <w:p w:rsidR="007776F5" w:rsidRPr="00E334F1" w:rsidRDefault="007776F5" w:rsidP="007776F5">
      <w:pPr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334F1">
        <w:rPr>
          <w:rFonts w:ascii="Times New Roman" w:hAnsi="Times New Roman" w:cs="Times New Roman"/>
          <w:sz w:val="22"/>
          <w:szCs w:val="22"/>
          <w:lang w:eastAsia="ar-SA"/>
        </w:rPr>
        <w:t>Обучение пользованию протезом нижней конечности  направлено на устранение или возможно более полную компенсацию ограничения жизнедеятельности, в том числе путем проведения медицинской реабилитации. Конечной целью обучения является содействие социальной адаптации и интеграции в общество  и предоставляется Получателям протезно-ортопедическими предприятиями в процессе выполнения работ (оказании услуг) по протезированию нижних конечностей.</w:t>
      </w:r>
    </w:p>
    <w:p w:rsidR="007776F5" w:rsidRPr="00E334F1" w:rsidRDefault="007776F5" w:rsidP="007776F5">
      <w:pPr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334F1">
        <w:rPr>
          <w:rFonts w:ascii="Times New Roman" w:hAnsi="Times New Roman" w:cs="Times New Roman"/>
          <w:sz w:val="22"/>
          <w:szCs w:val="22"/>
          <w:lang w:eastAsia="ar-SA"/>
        </w:rPr>
        <w:t>В целях подтверждения проведенного обучения необходимо составить заключение о проведенном курсе обучения и достигнутом медицинском реабилитационном эффекте в трех экземплярах  - один экземпляр передается получателю, второй экземпляр остается у исполнителя (подрядчика), третий экземпляр передается заказчику с актом приема-передачи изделия получателю.</w:t>
      </w:r>
    </w:p>
    <w:p w:rsidR="007776F5" w:rsidRPr="00E334F1" w:rsidRDefault="007776F5" w:rsidP="007776F5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334F1">
        <w:rPr>
          <w:rFonts w:ascii="Times New Roman" w:hAnsi="Times New Roman" w:cs="Times New Roman"/>
          <w:i/>
          <w:sz w:val="22"/>
          <w:szCs w:val="22"/>
          <w:lang w:eastAsia="ar-SA"/>
        </w:rPr>
        <w:t>Требования к сроку предоставления гарантий качества</w:t>
      </w:r>
      <w:r w:rsidRPr="00E334F1">
        <w:rPr>
          <w:rFonts w:ascii="Times New Roman" w:hAnsi="Times New Roman" w:cs="Times New Roman"/>
          <w:sz w:val="22"/>
          <w:szCs w:val="22"/>
          <w:lang w:eastAsia="ar-SA"/>
        </w:rPr>
        <w:t>: Гарантийный срок на протез устанавливается со дня выдачи готового изделия в эксплуатацию не менее 7 месяцев. Срок выполнения гарантийного ремонта должен быть не более 20 рабочих дней с момента обращения Получателя. В течение этого срока предприятие-изготовитель обязано производить замену или ремонт изделия бесплатно.</w:t>
      </w:r>
    </w:p>
    <w:p w:rsidR="007776F5" w:rsidRPr="00E334F1" w:rsidRDefault="007776F5" w:rsidP="007776F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2"/>
          <w:szCs w:val="22"/>
        </w:rPr>
      </w:pPr>
      <w:r w:rsidRPr="00E334F1">
        <w:rPr>
          <w:rFonts w:ascii="Times New Roman" w:eastAsia="Arial Unicode MS" w:hAnsi="Times New Roman" w:cs="Times New Roman"/>
          <w:kern w:val="2"/>
          <w:sz w:val="22"/>
          <w:szCs w:val="22"/>
        </w:rPr>
        <w:t>Обязанность исполнителя (подрядчика) при выдаче изделия получателю предоставить гарантийные талоны, дающие получателям право в период действия гарантийного срока осуществлять гарантийное обслуживание изделия.  В гарантийных талонах должны быть указаны адреса и режим работы пунктов приема получателей (специализированных мастерских или сервисных служб) по вопросам гара</w:t>
      </w:r>
      <w:r>
        <w:rPr>
          <w:rFonts w:ascii="Times New Roman" w:eastAsia="Arial Unicode MS" w:hAnsi="Times New Roman" w:cs="Times New Roman"/>
          <w:kern w:val="2"/>
          <w:sz w:val="22"/>
          <w:szCs w:val="22"/>
        </w:rPr>
        <w:t xml:space="preserve">нтийного обслуживания изделия. </w:t>
      </w:r>
      <w:proofErr w:type="gramStart"/>
      <w:r w:rsidRPr="00E334F1">
        <w:rPr>
          <w:rFonts w:ascii="Times New Roman" w:eastAsia="Arial Unicode MS" w:hAnsi="Times New Roman" w:cs="Times New Roman"/>
          <w:kern w:val="2"/>
          <w:sz w:val="22"/>
          <w:szCs w:val="22"/>
        </w:rPr>
        <w:t xml:space="preserve">В случае обнаружения получателем в течение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исполнителем (подрядчиком) должен быть обеспечен гарантийный ремонт (если изделие подлежит гарантийному </w:t>
      </w:r>
      <w:r w:rsidRPr="00E334F1">
        <w:rPr>
          <w:rFonts w:ascii="Times New Roman" w:eastAsia="Arial Unicode MS" w:hAnsi="Times New Roman" w:cs="Times New Roman"/>
          <w:kern w:val="2"/>
          <w:sz w:val="22"/>
          <w:szCs w:val="22"/>
        </w:rPr>
        <w:lastRenderedPageBreak/>
        <w:t>ремонту) либо осуществлена его замена на аналогичное изделие надлежащего качества.</w:t>
      </w:r>
      <w:proofErr w:type="gramEnd"/>
      <w:r w:rsidRPr="00E334F1">
        <w:rPr>
          <w:rFonts w:ascii="Times New Roman" w:eastAsia="Arial Unicode MS" w:hAnsi="Times New Roman" w:cs="Times New Roman"/>
          <w:kern w:val="2"/>
          <w:sz w:val="22"/>
          <w:szCs w:val="22"/>
        </w:rPr>
        <w:t xml:space="preserve">  Исполнитель (подрядчик) должен обеспечить возможность приемки изделия на гарантийный ремонт (если изделие подлежит гарантийному ремонту) или для его замены по фактическому месту проживания получателя с последующей доставкой изделия до получателя по указанному адресу с подъемом на этаж.</w:t>
      </w:r>
    </w:p>
    <w:p w:rsidR="007776F5" w:rsidRPr="00E334F1" w:rsidRDefault="007776F5" w:rsidP="007776F5">
      <w:pPr>
        <w:keepNext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334F1">
        <w:rPr>
          <w:rFonts w:ascii="Times New Roman" w:hAnsi="Times New Roman" w:cs="Times New Roman"/>
          <w:i/>
          <w:sz w:val="22"/>
          <w:szCs w:val="22"/>
        </w:rPr>
        <w:t>Условия выполнения работ:</w:t>
      </w:r>
      <w:r w:rsidRPr="00E334F1">
        <w:rPr>
          <w:rFonts w:ascii="Times New Roman" w:hAnsi="Times New Roman" w:cs="Times New Roman"/>
          <w:sz w:val="22"/>
          <w:szCs w:val="22"/>
          <w:lang w:eastAsia="ar-SA"/>
        </w:rPr>
        <w:t xml:space="preserve"> При получении от Заказчика Реестров Получателей не позднее 3 календарных дней приступить к проведению мероприятий по обеспечению Получателей необходимыми Изделиями. </w:t>
      </w:r>
      <w:r w:rsidRPr="00E334F1">
        <w:rPr>
          <w:rFonts w:ascii="Times New Roman" w:eastAsia="Calibri" w:hAnsi="Times New Roman" w:cs="Times New Roman"/>
          <w:sz w:val="22"/>
          <w:szCs w:val="22"/>
          <w:lang w:eastAsia="en-US"/>
        </w:rPr>
        <w:t>Выполнение работ, должно осуществляться по направлениям Заказчика, в срок не более 60 (шестидесяти) календарных дней со дня направления Заказчиком Исполнителю реестров направлений получателей услуг.</w:t>
      </w:r>
    </w:p>
    <w:p w:rsidR="007776F5" w:rsidRPr="00E334F1" w:rsidRDefault="007776F5" w:rsidP="007776F5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334F1">
        <w:rPr>
          <w:rFonts w:ascii="Times New Roman" w:hAnsi="Times New Roman" w:cs="Times New Roman"/>
          <w:sz w:val="22"/>
          <w:szCs w:val="22"/>
          <w:lang w:eastAsia="ar-SA"/>
        </w:rPr>
        <w:t xml:space="preserve">Выполнение работ по обеспечению Получателя должно осуществляться при наличии направлений, выданного </w:t>
      </w:r>
      <w:r w:rsidRPr="00E334F1">
        <w:rPr>
          <w:rFonts w:ascii="Times New Roman" w:hAnsi="Times New Roman" w:cs="Times New Roman"/>
          <w:sz w:val="22"/>
          <w:szCs w:val="22"/>
          <w:shd w:val="clear" w:color="auto" w:fill="FFFFFF"/>
        </w:rPr>
        <w:t>Заказчиком. При необходимости прием заказа на изготовление протезов, приемка и доставка готового изделия осуществляется с выездом представителей Исполнителя (выездной бригады) по месту жительства Получателя</w:t>
      </w:r>
      <w:r w:rsidRPr="00E334F1">
        <w:rPr>
          <w:rFonts w:ascii="Times New Roman" w:hAnsi="Times New Roman" w:cs="Times New Roman"/>
          <w:sz w:val="22"/>
          <w:szCs w:val="22"/>
          <w:lang w:eastAsia="ar-SA"/>
        </w:rPr>
        <w:t xml:space="preserve"> (на территории Республики Адыгея) и другими способами по желанию Получателя или доверенного лица при представлении им паспорта и отрывного талона, выдаваемого Заказчиком</w:t>
      </w:r>
      <w:r w:rsidRPr="00E334F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за счет Исполнителя. </w:t>
      </w:r>
    </w:p>
    <w:p w:rsidR="007776F5" w:rsidRPr="00E334F1" w:rsidRDefault="007776F5" w:rsidP="007776F5">
      <w:pPr>
        <w:autoSpaceDE w:val="0"/>
        <w:ind w:firstLine="708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334F1">
        <w:rPr>
          <w:rFonts w:ascii="Times New Roman" w:hAnsi="Times New Roman" w:cs="Times New Roman"/>
          <w:sz w:val="22"/>
          <w:szCs w:val="22"/>
          <w:lang w:eastAsia="ar-SA"/>
        </w:rPr>
        <w:t>Непосредственно до начала выполнения работ предоставить Получателю право выбора способа получения готового Изделия (по месту жительства, по месту нахождения пункта выдачи) посредством взаимодействия с Получателем, используя Реестр получателей, предоставленный Заказчиком.</w:t>
      </w:r>
    </w:p>
    <w:p w:rsidR="007776F5" w:rsidRPr="00E334F1" w:rsidRDefault="007776F5" w:rsidP="007776F5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334F1">
        <w:rPr>
          <w:rFonts w:ascii="Times New Roman" w:hAnsi="Times New Roman" w:cs="Times New Roman"/>
          <w:sz w:val="22"/>
          <w:szCs w:val="22"/>
          <w:lang w:eastAsia="ar-SA"/>
        </w:rPr>
        <w:t>Осуществлять еженедельное предоставление Заказчику в письменной форме информации о порядке исполнения условий Контракта, с предоставлением сведений о Получателях, отказавшихся от получения Изделий (с предоставлением письменного отказа Получателя).</w:t>
      </w:r>
    </w:p>
    <w:p w:rsidR="007776F5" w:rsidRPr="00E334F1" w:rsidRDefault="007776F5" w:rsidP="007776F5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334F1">
        <w:rPr>
          <w:rFonts w:ascii="Times New Roman" w:hAnsi="Times New Roman" w:cs="Times New Roman"/>
          <w:sz w:val="22"/>
          <w:szCs w:val="22"/>
          <w:lang w:eastAsia="ar-SA"/>
        </w:rPr>
        <w:t>Обеспечить корректное обращение с Получателями (представителями Получателей) при снятии мерок и передаче Изделий, а также исключить ситуации длительного ожидания Получателей при получении Изделий.</w:t>
      </w:r>
    </w:p>
    <w:p w:rsidR="007776F5" w:rsidRPr="00E334F1" w:rsidRDefault="007776F5" w:rsidP="007776F5">
      <w:pPr>
        <w:autoSpaceDE w:val="0"/>
        <w:ind w:firstLine="540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E334F1">
        <w:rPr>
          <w:rFonts w:ascii="Times New Roman" w:eastAsia="Arial" w:hAnsi="Times New Roman" w:cs="Times New Roman"/>
          <w:sz w:val="22"/>
          <w:szCs w:val="22"/>
          <w:lang w:eastAsia="ar-SA"/>
        </w:rPr>
        <w:t>Контра</w:t>
      </w:r>
      <w:proofErr w:type="gramStart"/>
      <w:r w:rsidRPr="00E334F1">
        <w:rPr>
          <w:rFonts w:ascii="Times New Roman" w:eastAsia="Arial" w:hAnsi="Times New Roman" w:cs="Times New Roman"/>
          <w:sz w:val="22"/>
          <w:szCs w:val="22"/>
          <w:lang w:eastAsia="ar-SA"/>
        </w:rPr>
        <w:t>кт  вст</w:t>
      </w:r>
      <w:proofErr w:type="gramEnd"/>
      <w:r w:rsidRPr="00E334F1">
        <w:rPr>
          <w:rFonts w:ascii="Times New Roman" w:eastAsia="Arial" w:hAnsi="Times New Roman" w:cs="Times New Roman"/>
          <w:sz w:val="22"/>
          <w:szCs w:val="22"/>
          <w:lang w:eastAsia="ar-SA"/>
        </w:rPr>
        <w:t>упает в силу с момента его заключения и действует до 01.11.2024 Окончание срока действия Контракта не влечет прекращения неисполненных обязательств Сторон по Контракту, в том числе гарантийных обязательств Исполнителя.</w:t>
      </w:r>
    </w:p>
    <w:p w:rsidR="007776F5" w:rsidRPr="00E334F1" w:rsidRDefault="007776F5" w:rsidP="007776F5">
      <w:pPr>
        <w:autoSpaceDE w:val="0"/>
        <w:ind w:right="-710" w:firstLine="709"/>
        <w:jc w:val="both"/>
        <w:rPr>
          <w:rFonts w:ascii="Times New Roman" w:eastAsia="Calibri" w:hAnsi="Times New Roman" w:cs="Times New Roman"/>
          <w:color w:val="000000"/>
          <w:kern w:val="2"/>
          <w:sz w:val="22"/>
          <w:szCs w:val="22"/>
        </w:rPr>
      </w:pPr>
      <w:r w:rsidRPr="00E334F1">
        <w:rPr>
          <w:rFonts w:ascii="Times New Roman" w:eastAsia="Arial Unicode MS" w:hAnsi="Times New Roman" w:cs="Times New Roman"/>
          <w:i/>
          <w:kern w:val="2"/>
          <w:sz w:val="22"/>
          <w:szCs w:val="22"/>
          <w:lang w:eastAsia="ar-SA"/>
        </w:rPr>
        <w:t xml:space="preserve">Порядок </w:t>
      </w:r>
      <w:r w:rsidRPr="00E334F1">
        <w:rPr>
          <w:rFonts w:ascii="Times New Roman" w:eastAsia="Calibri" w:hAnsi="Times New Roman" w:cs="Times New Roman"/>
          <w:i/>
          <w:color w:val="000000"/>
          <w:kern w:val="2"/>
          <w:sz w:val="22"/>
          <w:szCs w:val="22"/>
          <w:lang w:eastAsia="ar-SA"/>
        </w:rPr>
        <w:t xml:space="preserve">оплаты: </w:t>
      </w:r>
      <w:r w:rsidRPr="00E334F1">
        <w:rPr>
          <w:rFonts w:ascii="Times New Roman" w:eastAsia="Calibri" w:hAnsi="Times New Roman" w:cs="Times New Roman"/>
          <w:color w:val="000000"/>
          <w:kern w:val="2"/>
          <w:sz w:val="22"/>
          <w:szCs w:val="22"/>
          <w:lang w:eastAsia="ar-SA"/>
        </w:rPr>
        <w:t xml:space="preserve">оплата производится по безналичному расчету с расчетного счета Заказчика на расчетный счет Поставщика  в течение 7 (семи) рабочих дней </w:t>
      </w:r>
      <w:proofErr w:type="gramStart"/>
      <w:r w:rsidRPr="00E334F1">
        <w:rPr>
          <w:rFonts w:ascii="Times New Roman" w:eastAsia="Calibri" w:hAnsi="Times New Roman" w:cs="Times New Roman"/>
          <w:color w:val="000000"/>
          <w:kern w:val="2"/>
          <w:sz w:val="22"/>
          <w:szCs w:val="22"/>
          <w:lang w:eastAsia="ar-SA"/>
        </w:rPr>
        <w:t>с даты подписания</w:t>
      </w:r>
      <w:proofErr w:type="gramEnd"/>
      <w:r w:rsidRPr="00E334F1">
        <w:rPr>
          <w:rFonts w:ascii="Times New Roman" w:eastAsia="Calibri" w:hAnsi="Times New Roman" w:cs="Times New Roman"/>
          <w:color w:val="000000"/>
          <w:kern w:val="2"/>
          <w:sz w:val="22"/>
          <w:szCs w:val="22"/>
          <w:lang w:eastAsia="ar-SA"/>
        </w:rPr>
        <w:t xml:space="preserve"> заказчиком документа о поставки товара. </w:t>
      </w:r>
      <w:r w:rsidRPr="00E334F1">
        <w:rPr>
          <w:rFonts w:ascii="Times New Roman" w:eastAsia="Calibri" w:hAnsi="Times New Roman" w:cs="Times New Roman"/>
          <w:color w:val="000000"/>
          <w:kern w:val="2"/>
          <w:sz w:val="22"/>
          <w:szCs w:val="22"/>
        </w:rPr>
        <w:t xml:space="preserve"> </w:t>
      </w:r>
    </w:p>
    <w:p w:rsidR="007776F5" w:rsidRPr="00B245FA" w:rsidRDefault="007776F5" w:rsidP="007776F5">
      <w:pPr>
        <w:suppressAutoHyphens w:val="0"/>
        <w:autoSpaceDE w:val="0"/>
        <w:ind w:firstLine="54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7776F5" w:rsidRPr="00B245FA" w:rsidRDefault="007776F5" w:rsidP="007776F5">
      <w:pPr>
        <w:suppressAutoHyphens w:val="0"/>
        <w:autoSpaceDE w:val="0"/>
        <w:ind w:firstLine="54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7776F5" w:rsidRPr="00B245FA" w:rsidRDefault="007776F5" w:rsidP="007776F5">
      <w:pPr>
        <w:suppressAutoHyphens w:val="0"/>
        <w:autoSpaceDE w:val="0"/>
        <w:ind w:firstLine="540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7776F5" w:rsidRPr="00B245FA" w:rsidSect="0089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434"/>
    <w:multiLevelType w:val="multilevel"/>
    <w:tmpl w:val="02982434"/>
    <w:lvl w:ilvl="0">
      <w:start w:val="1"/>
      <w:numFmt w:val="decimal"/>
      <w:lvlText w:val="%1."/>
      <w:lvlJc w:val="left"/>
      <w:pPr>
        <w:tabs>
          <w:tab w:val="num" w:pos="539"/>
        </w:tabs>
        <w:ind w:left="199" w:hanging="57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776F5"/>
    <w:rsid w:val="007776F5"/>
    <w:rsid w:val="0089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F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001TlyunyaevaSR</dc:creator>
  <cp:lastModifiedBy>001TlyunyaevaSR</cp:lastModifiedBy>
  <cp:revision>1</cp:revision>
  <dcterms:created xsi:type="dcterms:W3CDTF">2024-02-16T09:08:00Z</dcterms:created>
  <dcterms:modified xsi:type="dcterms:W3CDTF">2024-02-16T09:09:00Z</dcterms:modified>
</cp:coreProperties>
</file>