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5A71C9DC" w:rsidR="0052416F" w:rsidRPr="00DA5907" w:rsidRDefault="006571A4" w:rsidP="00BD74D3">
      <w:pPr>
        <w:keepLines/>
        <w:widowControl w:val="0"/>
        <w:suppressAutoHyphens/>
        <w:spacing w:after="0" w:line="240" w:lineRule="auto"/>
        <w:jc w:val="center"/>
        <w:rPr>
          <w:b/>
          <w:szCs w:val="24"/>
        </w:rPr>
      </w:pPr>
      <w:r w:rsidRPr="00DA5907">
        <w:rPr>
          <w:b/>
          <w:szCs w:val="24"/>
        </w:rPr>
        <w:t>Т</w:t>
      </w:r>
      <w:r w:rsidR="005F7457" w:rsidRPr="00DA5907">
        <w:rPr>
          <w:b/>
          <w:szCs w:val="24"/>
        </w:rPr>
        <w:t>ехническое задание</w:t>
      </w:r>
      <w:r w:rsidR="00BF7B4A" w:rsidRPr="00DA5907">
        <w:rPr>
          <w:b/>
          <w:szCs w:val="24"/>
        </w:rPr>
        <w:t xml:space="preserve"> (описание объекта закупки и условия исполнения государственного контракта)</w:t>
      </w:r>
    </w:p>
    <w:p w14:paraId="30A5F3CC" w14:textId="77777777" w:rsidR="00205687" w:rsidRPr="00DA5907" w:rsidRDefault="00205687" w:rsidP="00BD74D3">
      <w:pPr>
        <w:keepLines/>
        <w:widowControl w:val="0"/>
        <w:suppressAutoHyphens/>
        <w:spacing w:after="0" w:line="240" w:lineRule="auto"/>
        <w:jc w:val="center"/>
        <w:rPr>
          <w:b/>
          <w:szCs w:val="24"/>
        </w:rPr>
      </w:pPr>
    </w:p>
    <w:p w14:paraId="0A035705" w14:textId="6F47138E" w:rsidR="005C16A0" w:rsidRDefault="0083662C" w:rsidP="00BD74D3">
      <w:pPr>
        <w:keepLines/>
        <w:widowControl w:val="0"/>
        <w:tabs>
          <w:tab w:val="left" w:pos="709"/>
        </w:tabs>
        <w:suppressAutoHyphens/>
        <w:spacing w:after="0" w:line="240" w:lineRule="auto"/>
        <w:ind w:firstLine="567"/>
        <w:jc w:val="center"/>
        <w:rPr>
          <w:b/>
          <w:bCs/>
          <w:color w:val="auto"/>
          <w:szCs w:val="24"/>
          <w:lang w:eastAsia="en-US"/>
        </w:rPr>
      </w:pPr>
      <w:r w:rsidRPr="0083662C">
        <w:rPr>
          <w:b/>
          <w:bCs/>
          <w:color w:val="auto"/>
          <w:szCs w:val="24"/>
          <w:lang w:eastAsia="en-US"/>
        </w:rPr>
        <w:t>Поставка ходунков шагающих</w:t>
      </w:r>
    </w:p>
    <w:p w14:paraId="540AF77C" w14:textId="77777777" w:rsidR="0083662C" w:rsidRDefault="0083662C" w:rsidP="0083662C">
      <w:pPr>
        <w:keepLines/>
        <w:widowControl w:val="0"/>
        <w:suppressAutoHyphens/>
        <w:spacing w:after="0" w:line="240" w:lineRule="auto"/>
        <w:rPr>
          <w:szCs w:val="24"/>
        </w:rPr>
      </w:pPr>
    </w:p>
    <w:tbl>
      <w:tblPr>
        <w:tblStyle w:val="63"/>
        <w:tblW w:w="5234" w:type="pct"/>
        <w:tblLayout w:type="fixed"/>
        <w:tblLook w:val="04A0" w:firstRow="1" w:lastRow="0" w:firstColumn="1" w:lastColumn="0" w:noHBand="0" w:noVBand="1"/>
      </w:tblPr>
      <w:tblGrid>
        <w:gridCol w:w="496"/>
        <w:gridCol w:w="1694"/>
        <w:gridCol w:w="2055"/>
        <w:gridCol w:w="7259"/>
        <w:gridCol w:w="684"/>
        <w:gridCol w:w="687"/>
        <w:gridCol w:w="1099"/>
        <w:gridCol w:w="1504"/>
      </w:tblGrid>
      <w:tr w:rsidR="0083662C" w:rsidRPr="0083662C" w14:paraId="7B34416A" w14:textId="77777777" w:rsidTr="0083662C">
        <w:trPr>
          <w:trHeight w:val="944"/>
        </w:trPr>
        <w:tc>
          <w:tcPr>
            <w:tcW w:w="160" w:type="pct"/>
          </w:tcPr>
          <w:p w14:paraId="7E21186B" w14:textId="77777777" w:rsidR="0083662C" w:rsidRPr="0083662C" w:rsidRDefault="0083662C" w:rsidP="0083662C">
            <w:pPr>
              <w:keepLines/>
              <w:widowControl w:val="0"/>
              <w:suppressAutoHyphens/>
              <w:jc w:val="both"/>
              <w:rPr>
                <w:sz w:val="24"/>
                <w:szCs w:val="24"/>
                <w:lang w:eastAsia="ar-SA"/>
              </w:rPr>
            </w:pPr>
            <w:bookmarkStart w:id="0" w:name="_GoBack" w:colFirst="4" w:colLast="7"/>
            <w:r w:rsidRPr="0083662C">
              <w:rPr>
                <w:sz w:val="24"/>
                <w:szCs w:val="24"/>
                <w:lang w:eastAsia="ar-SA"/>
              </w:rPr>
              <w:t>№ п/п</w:t>
            </w:r>
          </w:p>
        </w:tc>
        <w:tc>
          <w:tcPr>
            <w:tcW w:w="547" w:type="pct"/>
          </w:tcPr>
          <w:p w14:paraId="211BF972" w14:textId="78CE9190" w:rsidR="0083662C" w:rsidRPr="0083662C" w:rsidRDefault="0083662C" w:rsidP="0083662C">
            <w:pPr>
              <w:keepLines/>
              <w:widowControl w:val="0"/>
              <w:suppressAutoHyphens/>
              <w:jc w:val="both"/>
              <w:rPr>
                <w:sz w:val="24"/>
                <w:szCs w:val="24"/>
                <w:lang w:eastAsia="ar-SA"/>
              </w:rPr>
            </w:pPr>
            <w:r w:rsidRPr="001E33C0">
              <w:rPr>
                <w:sz w:val="24"/>
                <w:szCs w:val="24"/>
                <w:lang w:eastAsia="ar-SA"/>
              </w:rPr>
              <w:t>Наименование товара, работ, услуг</w:t>
            </w:r>
          </w:p>
        </w:tc>
        <w:tc>
          <w:tcPr>
            <w:tcW w:w="664" w:type="pct"/>
          </w:tcPr>
          <w:p w14:paraId="4DE0C0F9" w14:textId="294A924D" w:rsidR="0083662C" w:rsidRPr="0083662C" w:rsidRDefault="0083662C" w:rsidP="0083662C">
            <w:pPr>
              <w:keepLines/>
              <w:widowControl w:val="0"/>
              <w:suppressAutoHyphens/>
              <w:jc w:val="both"/>
              <w:rPr>
                <w:szCs w:val="24"/>
                <w:lang w:eastAsia="ar-SA"/>
              </w:rPr>
            </w:pPr>
            <w:r w:rsidRPr="0083662C">
              <w:rPr>
                <w:szCs w:val="24"/>
                <w:lang w:eastAsia="ar-SA"/>
              </w:rPr>
              <w:t xml:space="preserve">Наименование в соответствии с графой 3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утвержденной Приказом Минтруда России от 13.02.2018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и индивидуальной программой реабилитации и </w:t>
            </w:r>
            <w:proofErr w:type="spellStart"/>
            <w:r w:rsidRPr="0083662C">
              <w:rPr>
                <w:szCs w:val="24"/>
                <w:lang w:eastAsia="ar-SA"/>
              </w:rPr>
              <w:t>абилитации</w:t>
            </w:r>
            <w:proofErr w:type="spellEnd"/>
            <w:r w:rsidRPr="0083662C">
              <w:rPr>
                <w:szCs w:val="24"/>
                <w:lang w:eastAsia="ar-SA"/>
              </w:rPr>
              <w:t xml:space="preserve"> инвалида</w:t>
            </w:r>
          </w:p>
        </w:tc>
        <w:tc>
          <w:tcPr>
            <w:tcW w:w="2345" w:type="pct"/>
          </w:tcPr>
          <w:p w14:paraId="4257F310"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Описание объекта закупки</w:t>
            </w:r>
          </w:p>
        </w:tc>
        <w:tc>
          <w:tcPr>
            <w:tcW w:w="221" w:type="pct"/>
          </w:tcPr>
          <w:p w14:paraId="43148826"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Кол-во</w:t>
            </w:r>
          </w:p>
        </w:tc>
        <w:tc>
          <w:tcPr>
            <w:tcW w:w="222" w:type="pct"/>
          </w:tcPr>
          <w:p w14:paraId="05B803C2"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Ед. изм.</w:t>
            </w:r>
          </w:p>
        </w:tc>
        <w:tc>
          <w:tcPr>
            <w:tcW w:w="355" w:type="pct"/>
          </w:tcPr>
          <w:p w14:paraId="7F74D6CE"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Цена за ед. изм.</w:t>
            </w:r>
            <w:r w:rsidRPr="001E33C0">
              <w:rPr>
                <w:sz w:val="24"/>
                <w:szCs w:val="24"/>
                <w:vertAlign w:val="superscript"/>
                <w:lang w:eastAsia="ar-SA"/>
              </w:rPr>
              <w:footnoteReference w:id="1"/>
            </w:r>
            <w:r w:rsidRPr="0083662C">
              <w:rPr>
                <w:sz w:val="24"/>
                <w:szCs w:val="24"/>
                <w:lang w:eastAsia="ar-SA"/>
              </w:rPr>
              <w:t>, руб.</w:t>
            </w:r>
          </w:p>
        </w:tc>
        <w:tc>
          <w:tcPr>
            <w:tcW w:w="486" w:type="pct"/>
          </w:tcPr>
          <w:p w14:paraId="406198EB"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Цена по позиции</w:t>
            </w:r>
            <w:r w:rsidRPr="001E33C0">
              <w:rPr>
                <w:sz w:val="24"/>
                <w:szCs w:val="24"/>
                <w:vertAlign w:val="superscript"/>
                <w:lang w:eastAsia="ar-SA"/>
              </w:rPr>
              <w:footnoteReference w:id="2"/>
            </w:r>
            <w:r w:rsidRPr="0083662C">
              <w:rPr>
                <w:sz w:val="24"/>
                <w:szCs w:val="24"/>
                <w:lang w:eastAsia="ar-SA"/>
              </w:rPr>
              <w:t>, руб.</w:t>
            </w:r>
          </w:p>
        </w:tc>
      </w:tr>
      <w:bookmarkEnd w:id="0"/>
      <w:tr w:rsidR="0083662C" w:rsidRPr="0083662C" w14:paraId="43D6364F" w14:textId="77777777" w:rsidTr="0083662C">
        <w:tc>
          <w:tcPr>
            <w:tcW w:w="160" w:type="pct"/>
          </w:tcPr>
          <w:p w14:paraId="1EBE7BBE" w14:textId="77777777" w:rsidR="0083662C" w:rsidRPr="0083662C" w:rsidRDefault="0083662C" w:rsidP="0083662C">
            <w:pPr>
              <w:keepLines/>
              <w:widowControl w:val="0"/>
              <w:suppressAutoHyphens/>
              <w:jc w:val="center"/>
              <w:rPr>
                <w:szCs w:val="24"/>
                <w:lang w:eastAsia="ar-SA"/>
              </w:rPr>
            </w:pPr>
            <w:r w:rsidRPr="0083662C">
              <w:rPr>
                <w:szCs w:val="24"/>
                <w:lang w:eastAsia="ar-SA"/>
              </w:rPr>
              <w:t>1.</w:t>
            </w:r>
          </w:p>
        </w:tc>
        <w:tc>
          <w:tcPr>
            <w:tcW w:w="547" w:type="pct"/>
          </w:tcPr>
          <w:p w14:paraId="1FEC0450" w14:textId="0B412637" w:rsidR="0083662C" w:rsidRPr="0083662C" w:rsidRDefault="0083662C" w:rsidP="0083662C">
            <w:pPr>
              <w:keepLines/>
              <w:widowControl w:val="0"/>
              <w:suppressAutoHyphens/>
              <w:jc w:val="center"/>
              <w:rPr>
                <w:sz w:val="24"/>
                <w:szCs w:val="24"/>
                <w:lang w:eastAsia="ar-SA"/>
              </w:rPr>
            </w:pPr>
            <w:r w:rsidRPr="0083662C">
              <w:rPr>
                <w:sz w:val="24"/>
                <w:szCs w:val="24"/>
              </w:rPr>
              <w:t>Ходунки опорные стандартные, складные</w:t>
            </w:r>
          </w:p>
        </w:tc>
        <w:tc>
          <w:tcPr>
            <w:tcW w:w="664" w:type="pct"/>
          </w:tcPr>
          <w:p w14:paraId="6848D621" w14:textId="1336CA91" w:rsidR="0083662C" w:rsidRPr="0083662C" w:rsidRDefault="0083662C" w:rsidP="0083662C">
            <w:pPr>
              <w:keepLines/>
              <w:widowControl w:val="0"/>
              <w:suppressAutoHyphens/>
              <w:rPr>
                <w:sz w:val="24"/>
                <w:szCs w:val="24"/>
                <w:lang w:eastAsia="ar-SA"/>
              </w:rPr>
            </w:pPr>
            <w:r w:rsidRPr="0083662C">
              <w:rPr>
                <w:sz w:val="24"/>
                <w:szCs w:val="24"/>
                <w:lang w:eastAsia="ar-SA"/>
              </w:rPr>
              <w:t>Ходунки шагающие</w:t>
            </w:r>
          </w:p>
        </w:tc>
        <w:tc>
          <w:tcPr>
            <w:tcW w:w="2345" w:type="pct"/>
          </w:tcPr>
          <w:tbl>
            <w:tblPr>
              <w:tblStyle w:val="63"/>
              <w:tblW w:w="6973" w:type="dxa"/>
              <w:tblLayout w:type="fixed"/>
              <w:tblLook w:val="04A0" w:firstRow="1" w:lastRow="0" w:firstColumn="1" w:lastColumn="0" w:noHBand="0" w:noVBand="1"/>
            </w:tblPr>
            <w:tblGrid>
              <w:gridCol w:w="4114"/>
              <w:gridCol w:w="2859"/>
            </w:tblGrid>
            <w:tr w:rsidR="0083662C" w:rsidRPr="0083662C" w14:paraId="7AC46C85" w14:textId="77777777" w:rsidTr="00DF2509">
              <w:tc>
                <w:tcPr>
                  <w:tcW w:w="4114" w:type="dxa"/>
                </w:tcPr>
                <w:p w14:paraId="4D4BAD31" w14:textId="77777777" w:rsidR="0083662C" w:rsidRPr="0083662C" w:rsidRDefault="0083662C" w:rsidP="0083662C">
                  <w:pPr>
                    <w:keepLines/>
                    <w:widowControl w:val="0"/>
                    <w:suppressAutoHyphens/>
                    <w:jc w:val="both"/>
                    <w:rPr>
                      <w:b/>
                      <w:sz w:val="24"/>
                      <w:szCs w:val="24"/>
                      <w:lang w:eastAsia="ar-SA"/>
                    </w:rPr>
                  </w:pPr>
                  <w:r w:rsidRPr="0083662C">
                    <w:rPr>
                      <w:b/>
                      <w:sz w:val="24"/>
                      <w:szCs w:val="24"/>
                      <w:lang w:eastAsia="ar-SA"/>
                    </w:rPr>
                    <w:t>Наименование характеристики</w:t>
                  </w:r>
                </w:p>
              </w:tc>
              <w:tc>
                <w:tcPr>
                  <w:tcW w:w="2859" w:type="dxa"/>
                </w:tcPr>
                <w:p w14:paraId="15E484B9" w14:textId="489435B4" w:rsidR="0083662C" w:rsidRPr="0083662C" w:rsidRDefault="0083662C" w:rsidP="0083662C">
                  <w:pPr>
                    <w:keepLines/>
                    <w:widowControl w:val="0"/>
                    <w:suppressAutoHyphens/>
                    <w:jc w:val="both"/>
                    <w:rPr>
                      <w:b/>
                      <w:sz w:val="24"/>
                      <w:szCs w:val="24"/>
                    </w:rPr>
                  </w:pPr>
                  <w:r w:rsidRPr="0083662C">
                    <w:rPr>
                      <w:b/>
                      <w:sz w:val="24"/>
                      <w:szCs w:val="24"/>
                      <w:lang w:eastAsia="ar-SA"/>
                    </w:rPr>
                    <w:t>Значение характеристики</w:t>
                  </w:r>
                </w:p>
              </w:tc>
            </w:tr>
            <w:tr w:rsidR="0083662C" w:rsidRPr="0083662C" w14:paraId="4A3292DF" w14:textId="77777777" w:rsidTr="00DF2509">
              <w:tc>
                <w:tcPr>
                  <w:tcW w:w="4114" w:type="dxa"/>
                </w:tcPr>
                <w:p w14:paraId="5C8416D0"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Ходунки шагающие</w:t>
                  </w:r>
                </w:p>
              </w:tc>
              <w:tc>
                <w:tcPr>
                  <w:tcW w:w="2859" w:type="dxa"/>
                </w:tcPr>
                <w:p w14:paraId="14E2570F" w14:textId="637C7B48" w:rsidR="0083662C" w:rsidRPr="0083662C" w:rsidRDefault="0083662C" w:rsidP="0083662C">
                  <w:pPr>
                    <w:keepLines/>
                    <w:widowControl w:val="0"/>
                    <w:suppressAutoHyphens/>
                    <w:rPr>
                      <w:sz w:val="24"/>
                      <w:szCs w:val="24"/>
                    </w:rPr>
                  </w:pPr>
                  <w:r w:rsidRPr="0083662C">
                    <w:rPr>
                      <w:sz w:val="24"/>
                      <w:szCs w:val="24"/>
                      <w:lang w:eastAsia="ar-SA"/>
                    </w:rPr>
                    <w:t>Да</w:t>
                  </w:r>
                </w:p>
              </w:tc>
            </w:tr>
            <w:tr w:rsidR="0083662C" w:rsidRPr="0083662C" w14:paraId="2C4C0E8B" w14:textId="77777777" w:rsidTr="00DF2509">
              <w:tc>
                <w:tcPr>
                  <w:tcW w:w="4114" w:type="dxa"/>
                </w:tcPr>
                <w:p w14:paraId="1139463D"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Ходунки – вспомогательное техническое средство, которое предназначено для облегчения ходьбы, с четырьмя опорами и двумя рукоятками, управляемое обеими руками пользователя, возможно в комбинации с верхней частью тела.</w:t>
                  </w:r>
                </w:p>
              </w:tc>
              <w:tc>
                <w:tcPr>
                  <w:tcW w:w="2859" w:type="dxa"/>
                </w:tcPr>
                <w:p w14:paraId="380ED69D" w14:textId="2688F6AB" w:rsidR="0083662C" w:rsidRPr="0083662C" w:rsidRDefault="0083662C" w:rsidP="0083662C">
                  <w:pPr>
                    <w:keepLines/>
                    <w:widowControl w:val="0"/>
                    <w:suppressAutoHyphens/>
                    <w:rPr>
                      <w:sz w:val="24"/>
                      <w:szCs w:val="24"/>
                    </w:rPr>
                  </w:pPr>
                  <w:r w:rsidRPr="0083662C">
                    <w:rPr>
                      <w:sz w:val="24"/>
                      <w:szCs w:val="24"/>
                      <w:lang w:eastAsia="ar-SA"/>
                    </w:rPr>
                    <w:t>Да</w:t>
                  </w:r>
                </w:p>
              </w:tc>
            </w:tr>
            <w:tr w:rsidR="0083662C" w:rsidRPr="0083662C" w14:paraId="11F11D01" w14:textId="77777777" w:rsidTr="00DF2509">
              <w:tc>
                <w:tcPr>
                  <w:tcW w:w="4114" w:type="dxa"/>
                </w:tcPr>
                <w:p w14:paraId="7CD6A53D" w14:textId="77777777" w:rsidR="0083662C" w:rsidRPr="0083662C" w:rsidRDefault="0083662C" w:rsidP="0083662C">
                  <w:pPr>
                    <w:jc w:val="both"/>
                    <w:rPr>
                      <w:sz w:val="24"/>
                      <w:szCs w:val="24"/>
                      <w:highlight w:val="yellow"/>
                      <w:lang w:eastAsia="ar-SA"/>
                    </w:rPr>
                  </w:pPr>
                  <w:r w:rsidRPr="0083662C">
                    <w:rPr>
                      <w:sz w:val="24"/>
                      <w:szCs w:val="24"/>
                      <w:lang w:eastAsia="ar-SA"/>
                    </w:rPr>
                    <w:t>По соотношению высоты ходунка и роста пользователя поставляются несколько типоразмеров ходунков, благодаря механизму регулирования высоты в диапазоне</w:t>
                  </w:r>
                </w:p>
              </w:tc>
              <w:tc>
                <w:tcPr>
                  <w:tcW w:w="2859" w:type="dxa"/>
                </w:tcPr>
                <w:p w14:paraId="4F6C89D9" w14:textId="56F26D55" w:rsidR="0083662C" w:rsidRPr="0083662C" w:rsidRDefault="0083662C" w:rsidP="0083662C">
                  <w:pPr>
                    <w:keepLines/>
                    <w:widowControl w:val="0"/>
                    <w:suppressAutoHyphens/>
                    <w:jc w:val="both"/>
                    <w:rPr>
                      <w:sz w:val="24"/>
                      <w:szCs w:val="24"/>
                    </w:rPr>
                  </w:pPr>
                  <w:r w:rsidRPr="0083662C">
                    <w:rPr>
                      <w:sz w:val="24"/>
                      <w:szCs w:val="24"/>
                      <w:lang w:eastAsia="ar-SA"/>
                    </w:rPr>
                    <w:t>≥755 и ≤ 955 миллиметр</w:t>
                  </w:r>
                </w:p>
              </w:tc>
            </w:tr>
            <w:tr w:rsidR="0083662C" w:rsidRPr="0083662C" w14:paraId="0647105D" w14:textId="77777777" w:rsidTr="00DF2509">
              <w:tc>
                <w:tcPr>
                  <w:tcW w:w="4114" w:type="dxa"/>
                </w:tcPr>
                <w:p w14:paraId="69F27AAA"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Устройство регулирования высоты имеет отчетливые отметки с указанием максимально допустимого удлинения.</w:t>
                  </w:r>
                </w:p>
                <w:p w14:paraId="1658BAA8"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Регулировать высоту и складывать ходунки пользователь может без применения специальных инструментов.</w:t>
                  </w:r>
                </w:p>
                <w:p w14:paraId="64FD6BE9"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Устройство складывания обеспечивает надежную фиксацию ходунка в рабочем положении.</w:t>
                  </w:r>
                </w:p>
                <w:p w14:paraId="6921C247"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Рукоятки (ручки) ходунка изготовлены из неабсорбирующего материала, обладающего низкой теплопроводностью, и имеют такую форму, которая обеспечивает прочность их захвата (отсутствие скольжения рук при захвате), а также легкость чистки и санитарной обработки.</w:t>
                  </w:r>
                </w:p>
              </w:tc>
              <w:tc>
                <w:tcPr>
                  <w:tcW w:w="2859" w:type="dxa"/>
                </w:tcPr>
                <w:p w14:paraId="2780764C" w14:textId="48178483" w:rsidR="0083662C" w:rsidRPr="0083662C" w:rsidRDefault="0083662C" w:rsidP="0083662C">
                  <w:pPr>
                    <w:keepLines/>
                    <w:widowControl w:val="0"/>
                    <w:suppressAutoHyphens/>
                    <w:rPr>
                      <w:sz w:val="24"/>
                      <w:szCs w:val="24"/>
                    </w:rPr>
                  </w:pPr>
                  <w:r w:rsidRPr="0083662C">
                    <w:rPr>
                      <w:sz w:val="24"/>
                      <w:szCs w:val="24"/>
                      <w:lang w:eastAsia="ar-SA"/>
                    </w:rPr>
                    <w:t>Да</w:t>
                  </w:r>
                </w:p>
              </w:tc>
            </w:tr>
            <w:tr w:rsidR="0083662C" w:rsidRPr="0083662C" w14:paraId="775359D7" w14:textId="77777777" w:rsidTr="00DF2509">
              <w:tc>
                <w:tcPr>
                  <w:tcW w:w="4114" w:type="dxa"/>
                </w:tcPr>
                <w:p w14:paraId="6F4B6F96"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Ширина рукояток, миллиметр</w:t>
                  </w:r>
                </w:p>
              </w:tc>
              <w:tc>
                <w:tcPr>
                  <w:tcW w:w="2859" w:type="dxa"/>
                </w:tcPr>
                <w:p w14:paraId="1EAD3EEA" w14:textId="5CE1E610" w:rsidR="0083662C" w:rsidRPr="0083662C" w:rsidRDefault="0083662C" w:rsidP="0083662C">
                  <w:pPr>
                    <w:keepLines/>
                    <w:widowControl w:val="0"/>
                    <w:suppressAutoHyphens/>
                    <w:jc w:val="both"/>
                    <w:rPr>
                      <w:sz w:val="24"/>
                      <w:szCs w:val="24"/>
                    </w:rPr>
                  </w:pPr>
                  <w:r w:rsidRPr="0083662C">
                    <w:rPr>
                      <w:sz w:val="24"/>
                      <w:szCs w:val="24"/>
                      <w:lang w:eastAsia="ar-SA"/>
                    </w:rPr>
                    <w:t>≥ 20 и ≤ 50</w:t>
                  </w:r>
                </w:p>
              </w:tc>
            </w:tr>
            <w:tr w:rsidR="0083662C" w:rsidRPr="0083662C" w14:paraId="1469BD9C" w14:textId="77777777" w:rsidTr="00DF2509">
              <w:tc>
                <w:tcPr>
                  <w:tcW w:w="4114" w:type="dxa"/>
                </w:tcPr>
                <w:p w14:paraId="53AA8E35"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Опоры ходунка имеют наконечники такой конструкции, которая обеспечивает надежное их удержание на опорах.</w:t>
                  </w:r>
                </w:p>
                <w:p w14:paraId="511E5FE5"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Конструкция наконечников ходунков обеспечивает легкость их замены (при необходимости) и не создает «эффекта присоски» с поверхностью, по которой происходит движение ходунка.</w:t>
                  </w:r>
                </w:p>
                <w:p w14:paraId="1551A976"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Наконечники ходунков изготовлены из упругого, прочного материала, имеющего высокий коэффициент трения.</w:t>
                  </w:r>
                </w:p>
                <w:p w14:paraId="78DEE277"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Ходунки не имеют трещин, отслоений покрытий и других дефектов внешнего вида при воздействии температуры воздуха от плюс 40 градусов С до минус 40 градусов С.</w:t>
                  </w:r>
                </w:p>
                <w:p w14:paraId="19A2DDD4"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 xml:space="preserve">Металлические детали ходунка изготовлены из </w:t>
                  </w:r>
                  <w:proofErr w:type="spellStart"/>
                  <w:r w:rsidRPr="0083662C">
                    <w:rPr>
                      <w:sz w:val="24"/>
                      <w:szCs w:val="24"/>
                      <w:lang w:eastAsia="ar-SA"/>
                    </w:rPr>
                    <w:t>коррозинно</w:t>
                  </w:r>
                  <w:proofErr w:type="spellEnd"/>
                  <w:r w:rsidRPr="0083662C">
                    <w:rPr>
                      <w:sz w:val="24"/>
                      <w:szCs w:val="24"/>
                      <w:lang w:eastAsia="ar-SA"/>
                    </w:rPr>
                    <w:t>-стойких материалов или должны быть защищены от коррозии покрытиями</w:t>
                  </w:r>
                </w:p>
              </w:tc>
              <w:tc>
                <w:tcPr>
                  <w:tcW w:w="2859" w:type="dxa"/>
                </w:tcPr>
                <w:p w14:paraId="26DA011F" w14:textId="358EA368" w:rsidR="0083662C" w:rsidRPr="0083662C" w:rsidRDefault="0083662C" w:rsidP="0083662C">
                  <w:pPr>
                    <w:keepLines/>
                    <w:widowControl w:val="0"/>
                    <w:suppressAutoHyphens/>
                    <w:jc w:val="both"/>
                    <w:rPr>
                      <w:sz w:val="24"/>
                      <w:szCs w:val="24"/>
                    </w:rPr>
                  </w:pPr>
                  <w:r w:rsidRPr="0083662C">
                    <w:rPr>
                      <w:sz w:val="24"/>
                      <w:szCs w:val="24"/>
                      <w:lang w:eastAsia="ar-SA"/>
                    </w:rPr>
                    <w:t>Да</w:t>
                  </w:r>
                </w:p>
              </w:tc>
            </w:tr>
            <w:tr w:rsidR="0083662C" w:rsidRPr="0083662C" w14:paraId="1A1A5207" w14:textId="77777777" w:rsidTr="00DF2509">
              <w:tc>
                <w:tcPr>
                  <w:tcW w:w="4114" w:type="dxa"/>
                </w:tcPr>
                <w:p w14:paraId="379BB7C1"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В комплект входят</w:t>
                  </w:r>
                </w:p>
              </w:tc>
              <w:tc>
                <w:tcPr>
                  <w:tcW w:w="2859" w:type="dxa"/>
                </w:tcPr>
                <w:p w14:paraId="020B76F8"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паспорт на изделие, либо документ, содержащий описание и правила эксплуатации товара (на русском языке);</w:t>
                  </w:r>
                </w:p>
                <w:p w14:paraId="58D90ED1" w14:textId="0CDFBD39" w:rsidR="0083662C" w:rsidRPr="0083662C" w:rsidRDefault="0083662C" w:rsidP="0083662C">
                  <w:pPr>
                    <w:keepLines/>
                    <w:widowControl w:val="0"/>
                    <w:suppressAutoHyphens/>
                    <w:jc w:val="both"/>
                    <w:rPr>
                      <w:sz w:val="24"/>
                      <w:szCs w:val="24"/>
                    </w:rPr>
                  </w:pPr>
                  <w:r w:rsidRPr="0083662C">
                    <w:rPr>
                      <w:sz w:val="24"/>
                      <w:szCs w:val="24"/>
                      <w:lang w:eastAsia="ar-SA"/>
                    </w:rPr>
                    <w:t>гарантийный талон.</w:t>
                  </w:r>
                </w:p>
              </w:tc>
            </w:tr>
          </w:tbl>
          <w:p w14:paraId="7EC991CF" w14:textId="77777777" w:rsidR="0083662C" w:rsidRPr="0083662C" w:rsidRDefault="0083662C" w:rsidP="0083662C">
            <w:pPr>
              <w:keepLines/>
              <w:widowControl w:val="0"/>
              <w:suppressAutoHyphens/>
              <w:jc w:val="both"/>
              <w:rPr>
                <w:b/>
                <w:i/>
                <w:sz w:val="24"/>
                <w:szCs w:val="24"/>
                <w:lang w:eastAsia="ar-SA"/>
              </w:rPr>
            </w:pPr>
          </w:p>
        </w:tc>
        <w:tc>
          <w:tcPr>
            <w:tcW w:w="221" w:type="pct"/>
          </w:tcPr>
          <w:p w14:paraId="15EBA60B"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600</w:t>
            </w:r>
          </w:p>
        </w:tc>
        <w:tc>
          <w:tcPr>
            <w:tcW w:w="222" w:type="pct"/>
          </w:tcPr>
          <w:p w14:paraId="0C4DA095"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шт.</w:t>
            </w:r>
          </w:p>
        </w:tc>
        <w:tc>
          <w:tcPr>
            <w:tcW w:w="355" w:type="pct"/>
          </w:tcPr>
          <w:p w14:paraId="19162A88"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2 759,21</w:t>
            </w:r>
          </w:p>
        </w:tc>
        <w:tc>
          <w:tcPr>
            <w:tcW w:w="486" w:type="pct"/>
          </w:tcPr>
          <w:p w14:paraId="026A51F1" w14:textId="77777777" w:rsidR="0083662C" w:rsidRPr="0083662C" w:rsidRDefault="0083662C" w:rsidP="0083662C">
            <w:pPr>
              <w:keepLines/>
              <w:widowControl w:val="0"/>
              <w:suppressAutoHyphens/>
              <w:jc w:val="both"/>
              <w:rPr>
                <w:sz w:val="24"/>
                <w:szCs w:val="24"/>
                <w:lang w:eastAsia="ar-SA"/>
              </w:rPr>
            </w:pPr>
            <w:r w:rsidRPr="0083662C">
              <w:rPr>
                <w:sz w:val="24"/>
                <w:szCs w:val="24"/>
                <w:lang w:eastAsia="ar-SA"/>
              </w:rPr>
              <w:t>1 655 526,00</w:t>
            </w:r>
          </w:p>
        </w:tc>
      </w:tr>
      <w:tr w:rsidR="0083662C" w:rsidRPr="0083662C" w14:paraId="1950BD4E" w14:textId="77777777" w:rsidTr="00326DB2">
        <w:tc>
          <w:tcPr>
            <w:tcW w:w="3716" w:type="pct"/>
            <w:gridSpan w:val="4"/>
          </w:tcPr>
          <w:p w14:paraId="0BEE518B" w14:textId="77777777" w:rsidR="0083662C" w:rsidRPr="0083662C" w:rsidRDefault="0083662C" w:rsidP="0083662C">
            <w:pPr>
              <w:keepLines/>
              <w:widowControl w:val="0"/>
              <w:suppressAutoHyphens/>
              <w:jc w:val="both"/>
              <w:rPr>
                <w:b/>
                <w:szCs w:val="24"/>
                <w:lang w:eastAsia="ar-SA"/>
              </w:rPr>
            </w:pPr>
            <w:r w:rsidRPr="0083662C">
              <w:rPr>
                <w:b/>
                <w:szCs w:val="24"/>
                <w:lang w:eastAsia="ar-SA"/>
              </w:rPr>
              <w:t>ИТОГО:</w:t>
            </w:r>
          </w:p>
        </w:tc>
        <w:tc>
          <w:tcPr>
            <w:tcW w:w="221" w:type="pct"/>
          </w:tcPr>
          <w:p w14:paraId="50BAE7A2" w14:textId="77777777" w:rsidR="0083662C" w:rsidRPr="0083662C" w:rsidRDefault="0083662C" w:rsidP="0083662C">
            <w:pPr>
              <w:keepLines/>
              <w:widowControl w:val="0"/>
              <w:suppressAutoHyphens/>
              <w:jc w:val="both"/>
              <w:rPr>
                <w:b/>
                <w:szCs w:val="24"/>
                <w:lang w:eastAsia="ar-SA"/>
              </w:rPr>
            </w:pPr>
            <w:r w:rsidRPr="0083662C">
              <w:rPr>
                <w:b/>
                <w:szCs w:val="24"/>
                <w:lang w:eastAsia="ar-SA"/>
              </w:rPr>
              <w:t>600</w:t>
            </w:r>
          </w:p>
        </w:tc>
        <w:tc>
          <w:tcPr>
            <w:tcW w:w="222" w:type="pct"/>
          </w:tcPr>
          <w:p w14:paraId="2D551D26" w14:textId="77777777" w:rsidR="0083662C" w:rsidRPr="0083662C" w:rsidRDefault="0083662C" w:rsidP="0083662C">
            <w:pPr>
              <w:keepLines/>
              <w:widowControl w:val="0"/>
              <w:suppressAutoHyphens/>
              <w:jc w:val="both"/>
              <w:rPr>
                <w:b/>
                <w:szCs w:val="24"/>
                <w:lang w:eastAsia="ar-SA"/>
              </w:rPr>
            </w:pPr>
          </w:p>
        </w:tc>
        <w:tc>
          <w:tcPr>
            <w:tcW w:w="355" w:type="pct"/>
          </w:tcPr>
          <w:p w14:paraId="354C18D7" w14:textId="77777777" w:rsidR="0083662C" w:rsidRPr="0083662C" w:rsidRDefault="0083662C" w:rsidP="0083662C">
            <w:pPr>
              <w:keepLines/>
              <w:widowControl w:val="0"/>
              <w:suppressAutoHyphens/>
              <w:jc w:val="both"/>
              <w:rPr>
                <w:b/>
                <w:szCs w:val="24"/>
                <w:lang w:eastAsia="ar-SA"/>
              </w:rPr>
            </w:pPr>
          </w:p>
        </w:tc>
        <w:tc>
          <w:tcPr>
            <w:tcW w:w="486" w:type="pct"/>
          </w:tcPr>
          <w:p w14:paraId="4361C85F" w14:textId="77777777" w:rsidR="0083662C" w:rsidRPr="0083662C" w:rsidRDefault="0083662C" w:rsidP="0083662C">
            <w:pPr>
              <w:keepLines/>
              <w:widowControl w:val="0"/>
              <w:suppressAutoHyphens/>
              <w:jc w:val="both"/>
              <w:rPr>
                <w:b/>
                <w:szCs w:val="24"/>
                <w:lang w:eastAsia="ar-SA"/>
              </w:rPr>
            </w:pPr>
            <w:r w:rsidRPr="0083662C">
              <w:rPr>
                <w:b/>
                <w:szCs w:val="24"/>
                <w:lang w:eastAsia="ar-SA"/>
              </w:rPr>
              <w:t>1 655 526,00</w:t>
            </w:r>
          </w:p>
        </w:tc>
      </w:tr>
    </w:tbl>
    <w:p w14:paraId="497B162D" w14:textId="77777777" w:rsidR="0083662C" w:rsidRPr="0083662C" w:rsidRDefault="0083662C" w:rsidP="0083662C">
      <w:pPr>
        <w:keepLines/>
        <w:widowControl w:val="0"/>
        <w:suppressAutoHyphens/>
        <w:spacing w:after="0" w:line="240" w:lineRule="auto"/>
        <w:ind w:firstLine="426"/>
        <w:jc w:val="both"/>
        <w:rPr>
          <w:b/>
          <w:color w:val="auto"/>
          <w:szCs w:val="24"/>
          <w:lang w:eastAsia="ar-SA"/>
        </w:rPr>
      </w:pPr>
    </w:p>
    <w:p w14:paraId="120EA912" w14:textId="77777777" w:rsidR="0083662C" w:rsidRPr="0083662C" w:rsidRDefault="0083662C" w:rsidP="0083662C">
      <w:pPr>
        <w:keepLines/>
        <w:widowControl w:val="0"/>
        <w:tabs>
          <w:tab w:val="left" w:pos="4395"/>
        </w:tabs>
        <w:suppressAutoHyphens/>
        <w:spacing w:after="0" w:line="240" w:lineRule="auto"/>
        <w:ind w:firstLine="567"/>
        <w:rPr>
          <w:b/>
          <w:color w:val="auto"/>
          <w:szCs w:val="24"/>
          <w:lang w:eastAsia="ar-SA"/>
        </w:rPr>
      </w:pPr>
      <w:r w:rsidRPr="0083662C">
        <w:rPr>
          <w:b/>
          <w:color w:val="auto"/>
          <w:szCs w:val="24"/>
          <w:lang w:eastAsia="ar-SA"/>
        </w:rPr>
        <w:t xml:space="preserve">Требования к качеству и </w:t>
      </w:r>
      <w:r w:rsidRPr="0083662C">
        <w:rPr>
          <w:b/>
          <w:bCs/>
          <w:color w:val="auto"/>
          <w:szCs w:val="24"/>
          <w:lang w:eastAsia="ar-SA"/>
        </w:rPr>
        <w:t>безопасности товара</w:t>
      </w:r>
      <w:r w:rsidRPr="0083662C">
        <w:rPr>
          <w:b/>
          <w:color w:val="auto"/>
          <w:szCs w:val="24"/>
          <w:lang w:eastAsia="ar-SA"/>
        </w:rPr>
        <w:t>.</w:t>
      </w:r>
    </w:p>
    <w:p w14:paraId="5778E085" w14:textId="77777777" w:rsidR="0083662C" w:rsidRPr="0083662C" w:rsidRDefault="0083662C" w:rsidP="0083662C">
      <w:pPr>
        <w:keepLines/>
        <w:widowControl w:val="0"/>
        <w:tabs>
          <w:tab w:val="left" w:pos="4395"/>
        </w:tabs>
        <w:suppressAutoHyphens/>
        <w:spacing w:after="0" w:line="240" w:lineRule="auto"/>
        <w:ind w:firstLine="567"/>
        <w:jc w:val="both"/>
        <w:rPr>
          <w:color w:val="auto"/>
          <w:szCs w:val="24"/>
          <w:lang w:eastAsia="ar-SA"/>
        </w:rPr>
      </w:pPr>
      <w:r w:rsidRPr="0083662C">
        <w:rPr>
          <w:color w:val="auto"/>
          <w:szCs w:val="24"/>
          <w:lang w:eastAsia="ar-SA"/>
        </w:rPr>
        <w:t>Средства опоры должны соответствовать ГОСТам (</w:t>
      </w:r>
      <w:r w:rsidRPr="0083662C">
        <w:rPr>
          <w:szCs w:val="24"/>
        </w:rPr>
        <w:t>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w:t>
      </w:r>
      <w:r w:rsidRPr="0083662C">
        <w:rPr>
          <w:color w:val="auto"/>
          <w:szCs w:val="24"/>
          <w:lang w:eastAsia="ar-SA"/>
        </w:rPr>
        <w:t>, ГОСТ ISO 10993-10-2011 Межгосударственный стандарт «Изделия медицинские. Оценка биологического действия медицинских изделий. Часть 10. Исследования раздражающего и сенсибилизирующего действия»;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50444-2020 Национальный стандарт Российской Федерации «Приборы, аппараты и оборудование медицинские. Общие технические требования», ГОСТ Р ИСО 11199-1-2022 Национальный стандарт Российской Федерации «Средства вспомогательные для ходьбы, управляемые обеими руками. Требования и методы испытаний. Часть 1. Ходунки».</w:t>
      </w:r>
    </w:p>
    <w:p w14:paraId="534A2502" w14:textId="77777777" w:rsidR="0083662C" w:rsidRPr="0083662C" w:rsidRDefault="0083662C" w:rsidP="0083662C">
      <w:pPr>
        <w:keepLines/>
        <w:widowControl w:val="0"/>
        <w:tabs>
          <w:tab w:val="left" w:pos="4395"/>
        </w:tabs>
        <w:suppressAutoHyphens/>
        <w:spacing w:after="0" w:line="240" w:lineRule="auto"/>
        <w:ind w:firstLine="567"/>
        <w:jc w:val="both"/>
        <w:rPr>
          <w:color w:val="auto"/>
          <w:szCs w:val="24"/>
          <w:lang w:eastAsia="ar-SA"/>
        </w:rPr>
      </w:pPr>
      <w:r w:rsidRPr="0083662C">
        <w:rPr>
          <w:color w:val="auto"/>
          <w:szCs w:val="24"/>
          <w:lang w:eastAsia="ar-SA"/>
        </w:rPr>
        <w:t>При использовании изделий по назначению не должно быть создано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14:paraId="20FE3CE0" w14:textId="77777777" w:rsidR="0083662C" w:rsidRPr="0083662C" w:rsidRDefault="0083662C" w:rsidP="0083662C">
      <w:pPr>
        <w:keepLines/>
        <w:widowControl w:val="0"/>
        <w:tabs>
          <w:tab w:val="left" w:pos="4395"/>
        </w:tabs>
        <w:suppressAutoHyphens/>
        <w:autoSpaceDE w:val="0"/>
        <w:spacing w:after="0" w:line="240" w:lineRule="auto"/>
        <w:ind w:firstLine="567"/>
        <w:rPr>
          <w:color w:val="auto"/>
          <w:szCs w:val="24"/>
          <w:lang w:eastAsia="ar-SA"/>
        </w:rPr>
      </w:pPr>
      <w:r w:rsidRPr="0083662C">
        <w:rPr>
          <w:b/>
          <w:bCs/>
          <w:color w:val="auto"/>
          <w:szCs w:val="24"/>
          <w:lang w:eastAsia="ar-SA"/>
        </w:rPr>
        <w:t>Требования к размерам, упаковке, отгрузке товара.</w:t>
      </w:r>
      <w:r w:rsidRPr="0083662C">
        <w:rPr>
          <w:color w:val="auto"/>
          <w:szCs w:val="24"/>
          <w:lang w:eastAsia="ar-SA"/>
        </w:rPr>
        <w:t xml:space="preserve"> </w:t>
      </w:r>
    </w:p>
    <w:p w14:paraId="54721BDD" w14:textId="77777777" w:rsidR="0083662C" w:rsidRPr="0083662C" w:rsidRDefault="0083662C" w:rsidP="0083662C">
      <w:pPr>
        <w:keepLines/>
        <w:widowControl w:val="0"/>
        <w:shd w:val="clear" w:color="auto" w:fill="FFFFFF"/>
        <w:tabs>
          <w:tab w:val="left" w:pos="0"/>
          <w:tab w:val="left" w:pos="4395"/>
        </w:tabs>
        <w:suppressAutoHyphens/>
        <w:autoSpaceDE w:val="0"/>
        <w:spacing w:after="0" w:line="240" w:lineRule="auto"/>
        <w:ind w:firstLine="567"/>
        <w:jc w:val="both"/>
        <w:rPr>
          <w:color w:val="auto"/>
          <w:szCs w:val="24"/>
          <w:lang w:eastAsia="ar-SA"/>
        </w:rPr>
      </w:pPr>
      <w:r w:rsidRPr="0083662C">
        <w:rPr>
          <w:color w:val="auto"/>
          <w:szCs w:val="24"/>
          <w:lang w:eastAsia="ar-SA"/>
        </w:rPr>
        <w:t>Маркировка, упаковка, хранение и транспортировка изделий к месту выдачи инвалидам должна осуществляться с соблюдением требований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14:paraId="38A3D9DB" w14:textId="77777777" w:rsidR="0083662C" w:rsidRPr="0083662C" w:rsidRDefault="0083662C" w:rsidP="0083662C">
      <w:pPr>
        <w:keepLines/>
        <w:widowControl w:val="0"/>
        <w:tabs>
          <w:tab w:val="left" w:pos="4395"/>
        </w:tabs>
        <w:suppressAutoHyphens/>
        <w:spacing w:after="0" w:line="240" w:lineRule="auto"/>
        <w:ind w:firstLine="567"/>
        <w:jc w:val="both"/>
        <w:rPr>
          <w:color w:val="auto"/>
          <w:szCs w:val="24"/>
          <w:lang w:eastAsia="ar-SA"/>
        </w:rPr>
      </w:pPr>
      <w:r w:rsidRPr="0083662C">
        <w:rPr>
          <w:color w:val="auto"/>
          <w:szCs w:val="24"/>
          <w:lang w:eastAsia="ar-SA"/>
        </w:rPr>
        <w:t xml:space="preserve">Упаковка должна обеспечивать защиту от воздействия механических и климатических факторов во время транспортирования и хранения </w:t>
      </w:r>
    </w:p>
    <w:p w14:paraId="00E987F8" w14:textId="77777777" w:rsidR="0083662C" w:rsidRPr="0083662C" w:rsidRDefault="0083662C" w:rsidP="0083662C">
      <w:pPr>
        <w:keepLines/>
        <w:widowControl w:val="0"/>
        <w:tabs>
          <w:tab w:val="left" w:pos="4395"/>
        </w:tabs>
        <w:suppressAutoHyphens/>
        <w:spacing w:after="0" w:line="240" w:lineRule="auto"/>
        <w:ind w:firstLine="567"/>
        <w:jc w:val="both"/>
        <w:rPr>
          <w:color w:val="auto"/>
          <w:szCs w:val="24"/>
          <w:lang w:eastAsia="ar-SA"/>
        </w:rPr>
      </w:pPr>
      <w:r w:rsidRPr="0083662C">
        <w:rPr>
          <w:color w:val="auto"/>
          <w:szCs w:val="24"/>
          <w:lang w:eastAsia="ar-SA"/>
        </w:rPr>
        <w:t xml:space="preserve">технических средств реабилитации, а также наиболее полное использование грузоподъемности (вместимости) транспортных средств и удобство </w:t>
      </w:r>
    </w:p>
    <w:p w14:paraId="1A11EDAB" w14:textId="77777777" w:rsidR="0083662C" w:rsidRPr="0083662C" w:rsidRDefault="0083662C" w:rsidP="0083662C">
      <w:pPr>
        <w:keepLines/>
        <w:widowControl w:val="0"/>
        <w:tabs>
          <w:tab w:val="left" w:pos="4395"/>
        </w:tabs>
        <w:suppressAutoHyphens/>
        <w:spacing w:after="0" w:line="240" w:lineRule="auto"/>
        <w:ind w:firstLine="567"/>
        <w:jc w:val="both"/>
        <w:rPr>
          <w:color w:val="auto"/>
          <w:szCs w:val="24"/>
          <w:lang w:eastAsia="ar-SA"/>
        </w:rPr>
      </w:pPr>
      <w:r w:rsidRPr="0083662C">
        <w:rPr>
          <w:color w:val="auto"/>
          <w:szCs w:val="24"/>
          <w:lang w:eastAsia="ar-SA"/>
        </w:rPr>
        <w:t>выполнения погрузочно-разгрузочных работ.</w:t>
      </w:r>
    </w:p>
    <w:p w14:paraId="3CD771EB" w14:textId="77777777" w:rsidR="0083662C" w:rsidRPr="0083662C" w:rsidRDefault="0083662C" w:rsidP="0083662C">
      <w:pPr>
        <w:keepLines/>
        <w:widowControl w:val="0"/>
        <w:tabs>
          <w:tab w:val="left" w:pos="4395"/>
        </w:tabs>
        <w:suppressAutoHyphens/>
        <w:spacing w:after="0" w:line="240" w:lineRule="auto"/>
        <w:ind w:firstLine="567"/>
        <w:jc w:val="both"/>
        <w:rPr>
          <w:color w:val="auto"/>
          <w:szCs w:val="24"/>
          <w:lang w:eastAsia="ar-SA"/>
        </w:rPr>
      </w:pPr>
      <w:r w:rsidRPr="0083662C">
        <w:rPr>
          <w:color w:val="auto"/>
          <w:szCs w:val="24"/>
          <w:lang w:eastAsia="ar-SA"/>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303A1D93" w14:textId="77777777" w:rsidR="0083662C" w:rsidRPr="0083662C" w:rsidRDefault="0083662C" w:rsidP="0083662C">
      <w:pPr>
        <w:keepLines/>
        <w:widowControl w:val="0"/>
        <w:tabs>
          <w:tab w:val="left" w:pos="4395"/>
        </w:tabs>
        <w:suppressAutoHyphens/>
        <w:spacing w:after="0" w:line="240" w:lineRule="auto"/>
        <w:ind w:firstLine="567"/>
        <w:jc w:val="both"/>
        <w:rPr>
          <w:color w:val="auto"/>
          <w:szCs w:val="24"/>
          <w:lang w:eastAsia="ar-SA"/>
        </w:rPr>
      </w:pPr>
    </w:p>
    <w:p w14:paraId="408D606D" w14:textId="77777777" w:rsidR="0083662C" w:rsidRPr="0083662C" w:rsidRDefault="0083662C" w:rsidP="0083662C">
      <w:pPr>
        <w:keepLines/>
        <w:widowControl w:val="0"/>
        <w:tabs>
          <w:tab w:val="left" w:pos="4395"/>
        </w:tabs>
        <w:suppressAutoHyphens/>
        <w:spacing w:after="0" w:line="240" w:lineRule="auto"/>
        <w:ind w:firstLine="567"/>
        <w:jc w:val="both"/>
        <w:rPr>
          <w:b/>
          <w:szCs w:val="24"/>
        </w:rPr>
      </w:pPr>
      <w:r w:rsidRPr="0083662C">
        <w:rPr>
          <w:b/>
          <w:szCs w:val="24"/>
        </w:rPr>
        <w:t>Место доставки товара, выполнения работ, оказания услуг</w:t>
      </w:r>
    </w:p>
    <w:p w14:paraId="0AB90F24" w14:textId="77777777" w:rsidR="0083662C" w:rsidRPr="0083662C" w:rsidRDefault="0083662C" w:rsidP="0083662C">
      <w:pPr>
        <w:keepLines/>
        <w:widowControl w:val="0"/>
        <w:tabs>
          <w:tab w:val="left" w:pos="4395"/>
        </w:tabs>
        <w:suppressAutoHyphens/>
        <w:spacing w:after="0" w:line="240" w:lineRule="auto"/>
        <w:ind w:firstLine="567"/>
        <w:jc w:val="both"/>
        <w:rPr>
          <w:color w:val="auto"/>
          <w:szCs w:val="24"/>
        </w:rPr>
      </w:pPr>
      <w:r w:rsidRPr="0083662C">
        <w:rPr>
          <w:color w:val="auto"/>
          <w:szCs w:val="24"/>
        </w:rPr>
        <w:t>Краснодарский край:</w:t>
      </w:r>
    </w:p>
    <w:p w14:paraId="78868DE0" w14:textId="77777777" w:rsidR="0083662C" w:rsidRPr="0083662C" w:rsidRDefault="0083662C" w:rsidP="0083662C">
      <w:pPr>
        <w:keepLines/>
        <w:widowControl w:val="0"/>
        <w:tabs>
          <w:tab w:val="left" w:pos="4395"/>
        </w:tabs>
        <w:suppressAutoHyphens/>
        <w:spacing w:after="0" w:line="240" w:lineRule="auto"/>
        <w:ind w:firstLine="567"/>
        <w:jc w:val="both"/>
        <w:rPr>
          <w:color w:val="auto"/>
          <w:szCs w:val="24"/>
        </w:rPr>
      </w:pPr>
      <w:r w:rsidRPr="0083662C">
        <w:rPr>
          <w:color w:val="auto"/>
          <w:szCs w:val="24"/>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5CFDB43F" w14:textId="77777777" w:rsidR="0083662C" w:rsidRPr="0083662C" w:rsidRDefault="0083662C" w:rsidP="0083662C">
      <w:pPr>
        <w:keepLines/>
        <w:widowControl w:val="0"/>
        <w:tabs>
          <w:tab w:val="left" w:pos="4395"/>
        </w:tabs>
        <w:suppressAutoHyphens/>
        <w:spacing w:after="0" w:line="240" w:lineRule="auto"/>
        <w:ind w:firstLine="567"/>
        <w:jc w:val="both"/>
        <w:rPr>
          <w:color w:val="auto"/>
          <w:szCs w:val="24"/>
        </w:rPr>
      </w:pPr>
      <w:r w:rsidRPr="0083662C">
        <w:rPr>
          <w:color w:val="auto"/>
          <w:szCs w:val="24"/>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14:paraId="0BF8C80E" w14:textId="77777777" w:rsidR="0083662C" w:rsidRPr="0083662C" w:rsidRDefault="0083662C" w:rsidP="0083662C">
      <w:pPr>
        <w:keepLines/>
        <w:widowControl w:val="0"/>
        <w:tabs>
          <w:tab w:val="left" w:pos="4395"/>
        </w:tabs>
        <w:suppressAutoHyphens/>
        <w:spacing w:after="0" w:line="240" w:lineRule="auto"/>
        <w:ind w:firstLine="567"/>
        <w:rPr>
          <w:color w:val="auto"/>
          <w:szCs w:val="24"/>
        </w:rPr>
      </w:pPr>
    </w:p>
    <w:p w14:paraId="621F7B87" w14:textId="77777777" w:rsidR="0083662C" w:rsidRPr="0083662C" w:rsidRDefault="0083662C" w:rsidP="0083662C">
      <w:pPr>
        <w:keepLines/>
        <w:widowControl w:val="0"/>
        <w:tabs>
          <w:tab w:val="left" w:pos="4395"/>
        </w:tabs>
        <w:suppressAutoHyphens/>
        <w:spacing w:after="0" w:line="240" w:lineRule="auto"/>
        <w:ind w:firstLine="567"/>
        <w:rPr>
          <w:b/>
          <w:bCs/>
          <w:szCs w:val="24"/>
        </w:rPr>
      </w:pPr>
      <w:r w:rsidRPr="0083662C">
        <w:rPr>
          <w:b/>
          <w:bCs/>
          <w:szCs w:val="24"/>
        </w:rPr>
        <w:t>Сроки поставки товара или завершения работ, либо график оказания услуг:</w:t>
      </w:r>
    </w:p>
    <w:p w14:paraId="6CD2DDF4" w14:textId="77777777" w:rsidR="0083662C" w:rsidRPr="0083662C" w:rsidRDefault="0083662C" w:rsidP="0083662C">
      <w:pPr>
        <w:keepLines/>
        <w:widowControl w:val="0"/>
        <w:suppressAutoHyphens/>
        <w:autoSpaceDE w:val="0"/>
        <w:autoSpaceDN w:val="0"/>
        <w:spacing w:after="0" w:line="240" w:lineRule="auto"/>
        <w:ind w:firstLine="567"/>
        <w:jc w:val="both"/>
        <w:rPr>
          <w:color w:val="auto"/>
          <w:szCs w:val="24"/>
        </w:rPr>
      </w:pPr>
      <w:r w:rsidRPr="0083662C">
        <w:rPr>
          <w:color w:val="auto"/>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rsidRPr="0083662C">
        <w:rPr>
          <w:color w:val="auto"/>
          <w:szCs w:val="24"/>
          <w:lang w:eastAsia="en-US"/>
        </w:rPr>
        <w:t>, но не позднее 18.07.2024 года.</w:t>
      </w:r>
    </w:p>
    <w:p w14:paraId="7099D9C4" w14:textId="77777777" w:rsidR="0083662C" w:rsidRPr="0083662C" w:rsidRDefault="0083662C" w:rsidP="0083662C">
      <w:pPr>
        <w:keepLines/>
        <w:widowControl w:val="0"/>
        <w:suppressAutoHyphens/>
        <w:spacing w:after="0" w:line="240" w:lineRule="auto"/>
        <w:ind w:firstLine="567"/>
        <w:jc w:val="both"/>
        <w:rPr>
          <w:szCs w:val="24"/>
          <w:lang w:eastAsia="ar-SA"/>
        </w:rPr>
      </w:pPr>
      <w:r w:rsidRPr="0083662C">
        <w:rPr>
          <w:szCs w:val="24"/>
          <w:lang w:eastAsia="ar-SA"/>
        </w:rPr>
        <w:t>В течении 10 (десяти) календарных дней,</w:t>
      </w:r>
      <w:r w:rsidRPr="0083662C">
        <w:rPr>
          <w:color w:val="auto"/>
          <w:szCs w:val="24"/>
          <w:lang w:eastAsia="en-US"/>
        </w:rPr>
        <w:t xml:space="preserve"> с даты подписания Контракта</w:t>
      </w:r>
      <w:r w:rsidRPr="0083662C">
        <w:rPr>
          <w:szCs w:val="24"/>
          <w:lang w:eastAsia="ar-SA"/>
        </w:rPr>
        <w:t xml:space="preserve"> на складе Поставщика, расположенном на территории Краснодарского края, должно быть 100 % от общего количества Товара.</w:t>
      </w:r>
    </w:p>
    <w:p w14:paraId="5944256B" w14:textId="77777777" w:rsidR="0083662C" w:rsidRPr="0083662C" w:rsidRDefault="0083662C" w:rsidP="0083662C">
      <w:pPr>
        <w:keepLines/>
        <w:widowControl w:val="0"/>
        <w:suppressAutoHyphens/>
        <w:spacing w:after="0" w:line="240" w:lineRule="auto"/>
        <w:ind w:firstLine="567"/>
        <w:jc w:val="both"/>
        <w:rPr>
          <w:szCs w:val="24"/>
          <w:lang w:eastAsia="ar-SA"/>
        </w:rPr>
      </w:pPr>
    </w:p>
    <w:p w14:paraId="265C6565" w14:textId="77777777" w:rsidR="0083662C" w:rsidRPr="0083662C" w:rsidRDefault="0083662C" w:rsidP="0083662C">
      <w:pPr>
        <w:keepLines/>
        <w:widowControl w:val="0"/>
        <w:suppressAutoHyphens/>
        <w:spacing w:after="0" w:line="240" w:lineRule="auto"/>
        <w:ind w:firstLine="567"/>
        <w:jc w:val="both"/>
        <w:rPr>
          <w:b/>
          <w:szCs w:val="24"/>
        </w:rPr>
      </w:pPr>
      <w:r w:rsidRPr="0083662C">
        <w:rPr>
          <w:b/>
          <w:szCs w:val="24"/>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14:paraId="41AAA045" w14:textId="77777777" w:rsidR="0083662C" w:rsidRPr="0083662C" w:rsidRDefault="0083662C" w:rsidP="0083662C">
      <w:pPr>
        <w:keepLines/>
        <w:widowControl w:val="0"/>
        <w:suppressAutoHyphens/>
        <w:spacing w:after="0" w:line="240" w:lineRule="auto"/>
        <w:ind w:firstLine="567"/>
        <w:jc w:val="both"/>
        <w:rPr>
          <w:szCs w:val="24"/>
        </w:rPr>
      </w:pPr>
      <w:r w:rsidRPr="0083662C">
        <w:rPr>
          <w:szCs w:val="24"/>
        </w:rPr>
        <w:t xml:space="preserve">Гарантийный срок составляет 12 месяцев </w:t>
      </w:r>
      <w:r w:rsidRPr="0083662C">
        <w:rPr>
          <w:color w:val="auto"/>
          <w:szCs w:val="24"/>
          <w:lang w:eastAsia="ar-SA"/>
        </w:rPr>
        <w:t>со дня подписания Получателем акта приема-передачи Товара или получения Товара Получателем посредством службы доставки (почтовым отправлением)</w:t>
      </w:r>
      <w:r w:rsidRPr="0083662C">
        <w:rPr>
          <w:szCs w:val="24"/>
        </w:rPr>
        <w:t>. Обязательно наличие гарантийных талонов, дающих право на бесплатный ремонт или замену Товара во время гарантийного срока пользования. Срок выполнения гарантийного ремонта или замены не должен превышать 15 рабочих дней со дня обращения Получателя. В течение 5 (пяти) рабочих дней с момента подписания Контракта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В случае отсутствия специализированных мастерских (сервисных служб) на территории Краснодарского края Поставщик обязан в течение гарантийного ремонта своими силами осуществить приемку Товара у Получателя для гарантийного ремонта и возврат Товара по месту жительства Получателя Товара. 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14:paraId="49D342F8" w14:textId="77777777" w:rsidR="0083662C" w:rsidRPr="0083662C" w:rsidRDefault="0083662C" w:rsidP="0083662C">
      <w:pPr>
        <w:keepLines/>
        <w:widowControl w:val="0"/>
        <w:suppressAutoHyphens/>
        <w:spacing w:after="0" w:line="240" w:lineRule="auto"/>
        <w:ind w:firstLine="567"/>
        <w:jc w:val="both"/>
        <w:rPr>
          <w:szCs w:val="24"/>
        </w:rPr>
      </w:pPr>
    </w:p>
    <w:p w14:paraId="48BCFE02" w14:textId="77777777" w:rsidR="0083662C" w:rsidRPr="0083662C" w:rsidRDefault="0083662C" w:rsidP="0083662C">
      <w:pPr>
        <w:keepLines/>
        <w:widowControl w:val="0"/>
        <w:suppressAutoHyphens/>
        <w:spacing w:after="0" w:line="240" w:lineRule="auto"/>
        <w:ind w:firstLine="567"/>
        <w:jc w:val="both"/>
        <w:rPr>
          <w:szCs w:val="24"/>
        </w:rPr>
      </w:pPr>
      <w:r w:rsidRPr="0083662C">
        <w:rPr>
          <w:szCs w:val="24"/>
        </w:rPr>
        <w:t>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w:t>
      </w:r>
    </w:p>
    <w:p w14:paraId="43C52B76" w14:textId="77777777" w:rsidR="0083662C" w:rsidRPr="00DA5907" w:rsidRDefault="0083662C" w:rsidP="00BD74D3">
      <w:pPr>
        <w:keepLines/>
        <w:widowControl w:val="0"/>
        <w:suppressAutoHyphens/>
        <w:spacing w:after="0" w:line="240" w:lineRule="auto"/>
        <w:ind w:firstLine="567"/>
        <w:rPr>
          <w:szCs w:val="24"/>
        </w:rPr>
      </w:pPr>
    </w:p>
    <w:sectPr w:rsidR="0083662C" w:rsidRPr="00DA5907" w:rsidSect="00205687">
      <w:type w:val="continuous"/>
      <w:pgSz w:w="16838" w:h="11906" w:orient="landscape" w:code="9"/>
      <w:pgMar w:top="567" w:right="1134" w:bottom="992" w:left="1134" w:header="284"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15696B5F" w14:textId="77777777" w:rsidR="0083662C" w:rsidRDefault="0083662C" w:rsidP="0083662C">
      <w:pPr>
        <w:pStyle w:val="affff4"/>
      </w:pPr>
      <w:r>
        <w:rPr>
          <w:rStyle w:val="affff6"/>
        </w:rPr>
        <w:footnoteRef/>
      </w:r>
      <w:r>
        <w:t xml:space="preserve"> Не более</w:t>
      </w:r>
    </w:p>
  </w:footnote>
  <w:footnote w:id="2">
    <w:p w14:paraId="0848CA6C" w14:textId="77777777" w:rsidR="0083662C" w:rsidRDefault="0083662C" w:rsidP="0083662C">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30F27"/>
    <w:rsid w:val="000312DD"/>
    <w:rsid w:val="0005153E"/>
    <w:rsid w:val="00052264"/>
    <w:rsid w:val="00084A35"/>
    <w:rsid w:val="0009531E"/>
    <w:rsid w:val="000E7E2B"/>
    <w:rsid w:val="000F20C4"/>
    <w:rsid w:val="000F43FB"/>
    <w:rsid w:val="0013772F"/>
    <w:rsid w:val="00194410"/>
    <w:rsid w:val="001967B7"/>
    <w:rsid w:val="001A45A1"/>
    <w:rsid w:val="001B422E"/>
    <w:rsid w:val="001C02FA"/>
    <w:rsid w:val="001C54FA"/>
    <w:rsid w:val="001E33C0"/>
    <w:rsid w:val="00202B0D"/>
    <w:rsid w:val="00205687"/>
    <w:rsid w:val="00224785"/>
    <w:rsid w:val="00225261"/>
    <w:rsid w:val="00230E03"/>
    <w:rsid w:val="002454A4"/>
    <w:rsid w:val="0024676B"/>
    <w:rsid w:val="00262F2D"/>
    <w:rsid w:val="00291A4C"/>
    <w:rsid w:val="00292D62"/>
    <w:rsid w:val="002D7B85"/>
    <w:rsid w:val="002E1EDD"/>
    <w:rsid w:val="002F2C66"/>
    <w:rsid w:val="0032718C"/>
    <w:rsid w:val="0032740B"/>
    <w:rsid w:val="00353467"/>
    <w:rsid w:val="00357936"/>
    <w:rsid w:val="003602BA"/>
    <w:rsid w:val="003D052C"/>
    <w:rsid w:val="004031D1"/>
    <w:rsid w:val="00406253"/>
    <w:rsid w:val="00412270"/>
    <w:rsid w:val="00414B6D"/>
    <w:rsid w:val="004305A6"/>
    <w:rsid w:val="00431882"/>
    <w:rsid w:val="00433F8E"/>
    <w:rsid w:val="004438E1"/>
    <w:rsid w:val="00451019"/>
    <w:rsid w:val="004542A4"/>
    <w:rsid w:val="004666EE"/>
    <w:rsid w:val="00487CF6"/>
    <w:rsid w:val="004A0413"/>
    <w:rsid w:val="004B339D"/>
    <w:rsid w:val="004B668B"/>
    <w:rsid w:val="004E4016"/>
    <w:rsid w:val="004F1680"/>
    <w:rsid w:val="00503FAF"/>
    <w:rsid w:val="005223B7"/>
    <w:rsid w:val="005235DC"/>
    <w:rsid w:val="0052416F"/>
    <w:rsid w:val="005245F0"/>
    <w:rsid w:val="00530D29"/>
    <w:rsid w:val="00535C59"/>
    <w:rsid w:val="00544AA4"/>
    <w:rsid w:val="005554DB"/>
    <w:rsid w:val="00576427"/>
    <w:rsid w:val="0058778B"/>
    <w:rsid w:val="005B3EF0"/>
    <w:rsid w:val="005C16A0"/>
    <w:rsid w:val="005C1ADB"/>
    <w:rsid w:val="005E2968"/>
    <w:rsid w:val="005E5EAB"/>
    <w:rsid w:val="005E781C"/>
    <w:rsid w:val="005F4382"/>
    <w:rsid w:val="005F734A"/>
    <w:rsid w:val="005F7457"/>
    <w:rsid w:val="00624297"/>
    <w:rsid w:val="00627C14"/>
    <w:rsid w:val="006571A4"/>
    <w:rsid w:val="00690E40"/>
    <w:rsid w:val="00693A56"/>
    <w:rsid w:val="00696F3D"/>
    <w:rsid w:val="006978FC"/>
    <w:rsid w:val="006B2334"/>
    <w:rsid w:val="006B7795"/>
    <w:rsid w:val="006C17CD"/>
    <w:rsid w:val="006E6C80"/>
    <w:rsid w:val="00754F59"/>
    <w:rsid w:val="007742C0"/>
    <w:rsid w:val="00786AE2"/>
    <w:rsid w:val="007B52CF"/>
    <w:rsid w:val="007B62A2"/>
    <w:rsid w:val="007C1661"/>
    <w:rsid w:val="007C5358"/>
    <w:rsid w:val="007E084A"/>
    <w:rsid w:val="00815D38"/>
    <w:rsid w:val="0083662C"/>
    <w:rsid w:val="00843A71"/>
    <w:rsid w:val="008469F5"/>
    <w:rsid w:val="00857023"/>
    <w:rsid w:val="00865F7D"/>
    <w:rsid w:val="00882FED"/>
    <w:rsid w:val="008831B7"/>
    <w:rsid w:val="008A7512"/>
    <w:rsid w:val="008B7BC9"/>
    <w:rsid w:val="008E07C7"/>
    <w:rsid w:val="008E54EF"/>
    <w:rsid w:val="008F320D"/>
    <w:rsid w:val="008F7EE2"/>
    <w:rsid w:val="00901437"/>
    <w:rsid w:val="0093322E"/>
    <w:rsid w:val="00954674"/>
    <w:rsid w:val="009619DB"/>
    <w:rsid w:val="009774F1"/>
    <w:rsid w:val="00990953"/>
    <w:rsid w:val="00991B73"/>
    <w:rsid w:val="009D3DD9"/>
    <w:rsid w:val="009E4098"/>
    <w:rsid w:val="009F45BB"/>
    <w:rsid w:val="009F7006"/>
    <w:rsid w:val="00A25E32"/>
    <w:rsid w:val="00A36483"/>
    <w:rsid w:val="00A367F1"/>
    <w:rsid w:val="00A41014"/>
    <w:rsid w:val="00A464C9"/>
    <w:rsid w:val="00AE4A66"/>
    <w:rsid w:val="00B02233"/>
    <w:rsid w:val="00B27775"/>
    <w:rsid w:val="00B27C95"/>
    <w:rsid w:val="00B3008E"/>
    <w:rsid w:val="00B32DE4"/>
    <w:rsid w:val="00B67F7D"/>
    <w:rsid w:val="00B849FF"/>
    <w:rsid w:val="00B91503"/>
    <w:rsid w:val="00BD0741"/>
    <w:rsid w:val="00BD26F7"/>
    <w:rsid w:val="00BD74D3"/>
    <w:rsid w:val="00BD790A"/>
    <w:rsid w:val="00BF1B6F"/>
    <w:rsid w:val="00BF7B4A"/>
    <w:rsid w:val="00C131AD"/>
    <w:rsid w:val="00C135FC"/>
    <w:rsid w:val="00C67BED"/>
    <w:rsid w:val="00C761F4"/>
    <w:rsid w:val="00CA2E18"/>
    <w:rsid w:val="00CE0D8D"/>
    <w:rsid w:val="00CF3C85"/>
    <w:rsid w:val="00D1519D"/>
    <w:rsid w:val="00D16402"/>
    <w:rsid w:val="00D26507"/>
    <w:rsid w:val="00D37547"/>
    <w:rsid w:val="00D418EF"/>
    <w:rsid w:val="00D43331"/>
    <w:rsid w:val="00D60532"/>
    <w:rsid w:val="00D67204"/>
    <w:rsid w:val="00D73166"/>
    <w:rsid w:val="00D843F9"/>
    <w:rsid w:val="00D86790"/>
    <w:rsid w:val="00DA5907"/>
    <w:rsid w:val="00DC02BF"/>
    <w:rsid w:val="00DC615A"/>
    <w:rsid w:val="00DD390A"/>
    <w:rsid w:val="00DF2509"/>
    <w:rsid w:val="00DF5110"/>
    <w:rsid w:val="00DF5688"/>
    <w:rsid w:val="00E05835"/>
    <w:rsid w:val="00E065D5"/>
    <w:rsid w:val="00E06F0E"/>
    <w:rsid w:val="00E1670A"/>
    <w:rsid w:val="00E43D1E"/>
    <w:rsid w:val="00E462E9"/>
    <w:rsid w:val="00E812D9"/>
    <w:rsid w:val="00E91DED"/>
    <w:rsid w:val="00EB4231"/>
    <w:rsid w:val="00EC09CE"/>
    <w:rsid w:val="00EC4945"/>
    <w:rsid w:val="00EE756A"/>
    <w:rsid w:val="00EF4A53"/>
    <w:rsid w:val="00F149B6"/>
    <w:rsid w:val="00F210DC"/>
    <w:rsid w:val="00F22AD6"/>
    <w:rsid w:val="00F266BE"/>
    <w:rsid w:val="00F40C65"/>
    <w:rsid w:val="00F4162E"/>
    <w:rsid w:val="00F45416"/>
    <w:rsid w:val="00F55F93"/>
    <w:rsid w:val="00F82A8E"/>
    <w:rsid w:val="00F85E6C"/>
    <w:rsid w:val="00F935B8"/>
    <w:rsid w:val="00FC024B"/>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0">
    <w:name w:val="heading 1"/>
    <w:basedOn w:val="a"/>
    <w:next w:val="a"/>
    <w:link w:val="11"/>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2"/>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2"/>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2"/>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2"/>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2"/>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2"/>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2"/>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2"/>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2"/>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2"/>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2"/>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2"/>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2"/>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2"/>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2"/>
    <w:link w:val="241"/>
    <w:rPr>
      <w:rFonts w:ascii="Times New Roman" w:hAnsi="Times New Roman"/>
      <w:sz w:val="28"/>
    </w:rPr>
  </w:style>
  <w:style w:type="paragraph" w:customStyle="1" w:styleId="1f1">
    <w:name w:val="Знак1"/>
    <w:basedOn w:val="a"/>
    <w:link w:val="1f2"/>
    <w:pPr>
      <w:spacing w:line="240" w:lineRule="exact"/>
    </w:pPr>
    <w:rPr>
      <w:rFonts w:ascii="Verdana" w:hAnsi="Verdana"/>
      <w:sz w:val="20"/>
    </w:rPr>
  </w:style>
  <w:style w:type="character" w:customStyle="1" w:styleId="1f2">
    <w:name w:val="Знак1"/>
    <w:basedOn w:val="12"/>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2"/>
    <w:link w:val="27"/>
    <w:rPr>
      <w:rFonts w:ascii="Times New Roman" w:hAnsi="Times New Roman"/>
      <w:sz w:val="22"/>
    </w:rPr>
  </w:style>
  <w:style w:type="paragraph" w:customStyle="1" w:styleId="af">
    <w:name w:val="Знак"/>
    <w:basedOn w:val="a"/>
    <w:link w:val="af0"/>
    <w:pPr>
      <w:spacing w:line="240" w:lineRule="exact"/>
    </w:pPr>
    <w:rPr>
      <w:rFonts w:ascii="Verdana" w:hAnsi="Verdana"/>
      <w:sz w:val="20"/>
    </w:rPr>
  </w:style>
  <w:style w:type="character" w:customStyle="1" w:styleId="af0">
    <w:name w:val="Знак"/>
    <w:basedOn w:val="12"/>
    <w:link w:val="af"/>
    <w:rPr>
      <w:rFonts w:ascii="Verdana" w:hAnsi="Verdana"/>
      <w:sz w:val="20"/>
    </w:rPr>
  </w:style>
  <w:style w:type="paragraph" w:customStyle="1" w:styleId="1f3">
    <w:name w:val="1"/>
    <w:basedOn w:val="a"/>
    <w:link w:val="1f4"/>
    <w:pPr>
      <w:spacing w:line="240" w:lineRule="exact"/>
    </w:pPr>
    <w:rPr>
      <w:rFonts w:ascii="Verdana" w:hAnsi="Verdana"/>
      <w:sz w:val="20"/>
    </w:rPr>
  </w:style>
  <w:style w:type="character" w:customStyle="1" w:styleId="1f4">
    <w:name w:val="1"/>
    <w:basedOn w:val="12"/>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2"/>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2"/>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2"/>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2"/>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2"/>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2"/>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2"/>
    <w:link w:val="af5"/>
    <w:rPr>
      <w:rFonts w:ascii="Times New Roman" w:hAnsi="Times New Roman"/>
      <w:sz w:val="20"/>
    </w:rPr>
  </w:style>
  <w:style w:type="paragraph" w:customStyle="1" w:styleId="29">
    <w:name w:val="Знак2"/>
    <w:basedOn w:val="a"/>
    <w:link w:val="2a"/>
    <w:pPr>
      <w:spacing w:line="240" w:lineRule="exact"/>
    </w:pPr>
    <w:rPr>
      <w:rFonts w:ascii="Verdana" w:hAnsi="Verdana"/>
      <w:sz w:val="20"/>
    </w:rPr>
  </w:style>
  <w:style w:type="character" w:customStyle="1" w:styleId="2a">
    <w:name w:val="Знак2"/>
    <w:basedOn w:val="12"/>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2"/>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2"/>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line="240" w:lineRule="exact"/>
    </w:pPr>
    <w:rPr>
      <w:rFonts w:ascii="Verdana" w:hAnsi="Verdana"/>
      <w:sz w:val="20"/>
    </w:rPr>
  </w:style>
  <w:style w:type="character" w:customStyle="1" w:styleId="44">
    <w:name w:val="Знак4"/>
    <w:basedOn w:val="12"/>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2"/>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line="240" w:lineRule="exact"/>
    </w:pPr>
    <w:rPr>
      <w:rFonts w:ascii="Verdana" w:hAnsi="Verdana"/>
      <w:sz w:val="20"/>
    </w:rPr>
  </w:style>
  <w:style w:type="character" w:customStyle="1" w:styleId="52">
    <w:name w:val="Знак5"/>
    <w:basedOn w:val="12"/>
    <w:link w:val="51"/>
    <w:rPr>
      <w:rFonts w:ascii="Verdana" w:hAnsi="Verdana"/>
      <w:sz w:val="20"/>
    </w:rPr>
  </w:style>
  <w:style w:type="paragraph" w:customStyle="1" w:styleId="171">
    <w:name w:val="Знак Знак17"/>
    <w:basedOn w:val="a"/>
    <w:link w:val="172"/>
    <w:pPr>
      <w:spacing w:line="240" w:lineRule="exact"/>
    </w:pPr>
    <w:rPr>
      <w:rFonts w:ascii="Verdana" w:hAnsi="Verdana"/>
      <w:sz w:val="20"/>
    </w:rPr>
  </w:style>
  <w:style w:type="character" w:customStyle="1" w:styleId="172">
    <w:name w:val="Знак Знак17"/>
    <w:basedOn w:val="12"/>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2"/>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2"/>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2"/>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2"/>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2"/>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2"/>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2"/>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2"/>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2"/>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2"/>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2"/>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2"/>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2"/>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2"/>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2"/>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2"/>
    <w:link w:val="Style16"/>
    <w:rPr>
      <w:rFonts w:ascii="Cambria" w:hAnsi="Cambria"/>
      <w:sz w:val="24"/>
    </w:rPr>
  </w:style>
  <w:style w:type="paragraph" w:customStyle="1" w:styleId="1ff0">
    <w:name w:val="Знак1 Знак Знак Знак"/>
    <w:basedOn w:val="a"/>
    <w:link w:val="1ff1"/>
    <w:pPr>
      <w:spacing w:line="240" w:lineRule="exact"/>
    </w:pPr>
    <w:rPr>
      <w:rFonts w:ascii="Verdana" w:hAnsi="Verdana"/>
      <w:sz w:val="20"/>
    </w:rPr>
  </w:style>
  <w:style w:type="character" w:customStyle="1" w:styleId="1ff1">
    <w:name w:val="Знак1 Знак Знак Знак"/>
    <w:basedOn w:val="12"/>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2"/>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2"/>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2"/>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2"/>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2"/>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2"/>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1">
    <w:name w:val="Заголовок 1 Знак"/>
    <w:basedOn w:val="12"/>
    <w:link w:val="10"/>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2"/>
    <w:link w:val="xl74"/>
    <w:rPr>
      <w:rFonts w:ascii="Times New Roman" w:hAnsi="Times New Roman"/>
      <w:sz w:val="24"/>
    </w:rPr>
  </w:style>
  <w:style w:type="paragraph" w:customStyle="1" w:styleId="3a">
    <w:name w:val="Знак3"/>
    <w:basedOn w:val="a"/>
    <w:link w:val="3b"/>
    <w:pPr>
      <w:spacing w:line="240" w:lineRule="exact"/>
    </w:pPr>
    <w:rPr>
      <w:rFonts w:ascii="Verdana" w:hAnsi="Verdana"/>
      <w:sz w:val="20"/>
    </w:rPr>
  </w:style>
  <w:style w:type="character" w:customStyle="1" w:styleId="3b">
    <w:name w:val="Знак3"/>
    <w:basedOn w:val="12"/>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2"/>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2"/>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2"/>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rFonts w:ascii="Times New Roman" w:hAnsi="Times New Roman"/>
      <w:sz w:val="20"/>
    </w:rPr>
  </w:style>
  <w:style w:type="character" w:customStyle="1" w:styleId="80">
    <w:name w:val="Заголовок 8 Знак"/>
    <w:basedOn w:val="12"/>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2"/>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2"/>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2"/>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2"/>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2"/>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2"/>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2"/>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2"/>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2"/>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2"/>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2"/>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2"/>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2"/>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2"/>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2"/>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2"/>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2"/>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2"/>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2"/>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line="240" w:lineRule="exact"/>
    </w:pPr>
    <w:rPr>
      <w:rFonts w:ascii="Verdana" w:hAnsi="Verdana"/>
      <w:sz w:val="20"/>
    </w:rPr>
  </w:style>
  <w:style w:type="character" w:customStyle="1" w:styleId="115">
    <w:name w:val="Знак1 Знак Знак Знак1"/>
    <w:basedOn w:val="12"/>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2"/>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2"/>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2"/>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2"/>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2"/>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2"/>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2"/>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2"/>
    <w:link w:val="afffe"/>
    <w:rPr>
      <w:rFonts w:ascii="Times New Roman" w:hAnsi="Times New Roman"/>
      <w:sz w:val="24"/>
    </w:rPr>
  </w:style>
  <w:style w:type="paragraph" w:customStyle="1" w:styleId="57">
    <w:name w:val="Знак5 Знак Знак"/>
    <w:basedOn w:val="a"/>
    <w:link w:val="58"/>
    <w:pPr>
      <w:spacing w:line="240" w:lineRule="exact"/>
    </w:pPr>
    <w:rPr>
      <w:rFonts w:ascii="Verdana" w:hAnsi="Verdana"/>
      <w:sz w:val="20"/>
    </w:rPr>
  </w:style>
  <w:style w:type="character" w:customStyle="1" w:styleId="58">
    <w:name w:val="Знак5 Знак Знак"/>
    <w:basedOn w:val="12"/>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2"/>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2"/>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2"/>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2"/>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2"/>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2"/>
    <w:link w:val="233"/>
    <w:rPr>
      <w:rFonts w:ascii="Times New Roman" w:hAnsi="Times New Roman"/>
      <w:sz w:val="20"/>
    </w:rPr>
  </w:style>
  <w:style w:type="character" w:customStyle="1" w:styleId="40">
    <w:name w:val="Заголовок 4 Знак"/>
    <w:basedOn w:val="12"/>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2"/>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2"/>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2"/>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2"/>
    <w:link w:val="xl85"/>
    <w:rPr>
      <w:rFonts w:ascii="Times New Roman" w:hAnsi="Times New Roman"/>
      <w:b/>
      <w:sz w:val="24"/>
    </w:rPr>
  </w:style>
  <w:style w:type="character" w:customStyle="1" w:styleId="20">
    <w:name w:val="Заголовок 2 Знак"/>
    <w:basedOn w:val="12"/>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line="240" w:lineRule="exact"/>
    </w:pPr>
    <w:rPr>
      <w:rFonts w:ascii="Verdana" w:hAnsi="Verdana"/>
      <w:sz w:val="20"/>
    </w:rPr>
  </w:style>
  <w:style w:type="character" w:customStyle="1" w:styleId="1fff6">
    <w:name w:val="1 Знак"/>
    <w:basedOn w:val="12"/>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line="240" w:lineRule="exact"/>
    </w:pPr>
    <w:rPr>
      <w:rFonts w:ascii="Verdana" w:hAnsi="Verdana"/>
      <w:sz w:val="20"/>
    </w:rPr>
  </w:style>
  <w:style w:type="character" w:customStyle="1" w:styleId="5a">
    <w:name w:val="Знак5 Знак Знак Знак"/>
    <w:basedOn w:val="12"/>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2"/>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2"/>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2"/>
    <w:link w:val="2-11"/>
    <w:rPr>
      <w:rFonts w:ascii="Times New Roman" w:hAnsi="Times New Roman"/>
      <w:sz w:val="24"/>
    </w:rPr>
  </w:style>
  <w:style w:type="character" w:customStyle="1" w:styleId="60">
    <w:name w:val="Заголовок 6 Знак"/>
    <w:basedOn w:val="12"/>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unhideWhenUsed/>
    <w:rsid w:val="00DF5110"/>
    <w:rPr>
      <w:sz w:val="20"/>
    </w:rPr>
  </w:style>
  <w:style w:type="character" w:customStyle="1" w:styleId="affff5">
    <w:name w:val="Текст сноски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1"/>
    <w:next w:val="affff2"/>
    <w:uiPriority w:val="59"/>
    <w:rsid w:val="00EB4231"/>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5C16A0"/>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205687"/>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2"/>
    <w:uiPriority w:val="39"/>
    <w:rsid w:val="0083662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50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A901A-0A17-4E17-A774-9019C32E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Pages>
  <Words>1238</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Коноплева Лидия Сергеевна</cp:lastModifiedBy>
  <cp:revision>176</cp:revision>
  <dcterms:created xsi:type="dcterms:W3CDTF">2021-12-29T15:28:00Z</dcterms:created>
  <dcterms:modified xsi:type="dcterms:W3CDTF">2024-03-04T11:46:00Z</dcterms:modified>
</cp:coreProperties>
</file>