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B3" w:rsidRDefault="00926BB3" w:rsidP="003C11C8">
      <w:pPr>
        <w:spacing w:after="0" w:line="240" w:lineRule="auto"/>
        <w:ind w:firstLine="142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ru-RU" w:bidi="ru-RU"/>
        </w:rPr>
      </w:pPr>
      <w:r w:rsidRPr="00F63952">
        <w:rPr>
          <w:rFonts w:ascii="Times New Roman" w:eastAsia="Arial" w:hAnsi="Times New Roman"/>
          <w:b/>
          <w:kern w:val="1"/>
          <w:sz w:val="24"/>
          <w:szCs w:val="24"/>
          <w:lang w:eastAsia="ru-RU" w:bidi="ru-RU"/>
        </w:rPr>
        <w:t xml:space="preserve">Описание объекта закупки </w:t>
      </w:r>
    </w:p>
    <w:p w:rsidR="003C11C8" w:rsidRDefault="003C11C8" w:rsidP="003C11C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CC31CE">
        <w:rPr>
          <w:rFonts w:ascii="Times New Roman" w:hAnsi="Times New Roman"/>
          <w:b/>
        </w:rPr>
        <w:t>поставк</w:t>
      </w:r>
      <w:r>
        <w:rPr>
          <w:rFonts w:ascii="Times New Roman" w:hAnsi="Times New Roman"/>
          <w:b/>
        </w:rPr>
        <w:t>у</w:t>
      </w:r>
      <w:r w:rsidR="00CC31CE">
        <w:rPr>
          <w:rFonts w:ascii="Times New Roman" w:hAnsi="Times New Roman"/>
          <w:b/>
        </w:rPr>
        <w:t xml:space="preserve"> </w:t>
      </w:r>
      <w:r w:rsidR="000F5F89">
        <w:rPr>
          <w:rFonts w:ascii="Times New Roman" w:hAnsi="Times New Roman"/>
          <w:b/>
        </w:rPr>
        <w:t xml:space="preserve">технических средств реабилитации (изделий) в 2024 году: </w:t>
      </w:r>
    </w:p>
    <w:p w:rsidR="008B2D7B" w:rsidRDefault="00CC31CE" w:rsidP="003C11C8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противопролежневы</w:t>
      </w:r>
      <w:r w:rsidR="000F5F89">
        <w:rPr>
          <w:rFonts w:ascii="Times New Roman" w:hAnsi="Times New Roman"/>
          <w:b/>
        </w:rPr>
        <w:t>е</w:t>
      </w:r>
      <w:proofErr w:type="spellEnd"/>
      <w:r>
        <w:rPr>
          <w:rFonts w:ascii="Times New Roman" w:hAnsi="Times New Roman"/>
          <w:b/>
        </w:rPr>
        <w:t xml:space="preserve"> </w:t>
      </w:r>
      <w:r w:rsidR="009E1BDF">
        <w:rPr>
          <w:rFonts w:ascii="Times New Roman" w:hAnsi="Times New Roman"/>
          <w:b/>
        </w:rPr>
        <w:t>подуш</w:t>
      </w:r>
      <w:r w:rsidR="000F5F89">
        <w:rPr>
          <w:rFonts w:ascii="Times New Roman" w:hAnsi="Times New Roman"/>
          <w:b/>
        </w:rPr>
        <w:t>ки.</w:t>
      </w:r>
    </w:p>
    <w:p w:rsidR="003C11C8" w:rsidRDefault="003C11C8" w:rsidP="003C1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BB3" w:rsidRDefault="007177D6" w:rsidP="003C11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="008B2D7B" w:rsidRPr="008B2D7B">
        <w:rPr>
          <w:rFonts w:ascii="Times New Roman" w:hAnsi="Times New Roman"/>
          <w:sz w:val="24"/>
          <w:szCs w:val="24"/>
        </w:rPr>
        <w:t>ротивопролежневы</w:t>
      </w:r>
      <w:r w:rsidR="009E1BDF">
        <w:rPr>
          <w:rFonts w:ascii="Times New Roman" w:hAnsi="Times New Roman"/>
          <w:sz w:val="24"/>
          <w:szCs w:val="24"/>
        </w:rPr>
        <w:t>е</w:t>
      </w:r>
      <w:proofErr w:type="spellEnd"/>
      <w:r w:rsidR="008B2D7B" w:rsidRPr="008B2D7B">
        <w:rPr>
          <w:rFonts w:ascii="Times New Roman" w:hAnsi="Times New Roman"/>
          <w:sz w:val="24"/>
          <w:szCs w:val="24"/>
        </w:rPr>
        <w:t xml:space="preserve"> </w:t>
      </w:r>
      <w:r w:rsidR="009E1BDF">
        <w:rPr>
          <w:rFonts w:ascii="Times New Roman" w:hAnsi="Times New Roman"/>
          <w:sz w:val="24"/>
          <w:szCs w:val="24"/>
        </w:rPr>
        <w:t>подушки</w:t>
      </w:r>
      <w:r w:rsidR="008B2D7B" w:rsidRPr="008B2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D7B" w:rsidRPr="008B2D7B">
        <w:rPr>
          <w:rFonts w:ascii="Times New Roman" w:hAnsi="Times New Roman"/>
          <w:sz w:val="24"/>
          <w:szCs w:val="24"/>
        </w:rPr>
        <w:t>гелевы</w:t>
      </w:r>
      <w:r w:rsidR="009E1BDF">
        <w:rPr>
          <w:rFonts w:ascii="Times New Roman" w:hAnsi="Times New Roman"/>
          <w:sz w:val="24"/>
          <w:szCs w:val="24"/>
        </w:rPr>
        <w:t>е</w:t>
      </w:r>
      <w:proofErr w:type="spellEnd"/>
      <w:r w:rsidR="008B2D7B" w:rsidRPr="008B2D7B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8B2D7B">
        <w:rPr>
          <w:rFonts w:ascii="Times New Roman" w:hAnsi="Times New Roman"/>
          <w:sz w:val="24"/>
          <w:szCs w:val="24"/>
          <w:lang w:eastAsia="ru-RU" w:bidi="ru-RU"/>
        </w:rPr>
        <w:t>10-0</w:t>
      </w:r>
      <w:r w:rsidR="009E1BDF">
        <w:rPr>
          <w:rFonts w:ascii="Times New Roman" w:hAnsi="Times New Roman"/>
          <w:sz w:val="24"/>
          <w:szCs w:val="24"/>
          <w:lang w:eastAsia="ru-RU" w:bidi="ru-RU"/>
        </w:rPr>
        <w:t>2</w:t>
      </w:r>
      <w:r w:rsidR="008B2D7B">
        <w:rPr>
          <w:rFonts w:ascii="Times New Roman" w:hAnsi="Times New Roman"/>
          <w:sz w:val="24"/>
          <w:szCs w:val="24"/>
          <w:lang w:eastAsia="ru-RU" w:bidi="ru-RU"/>
        </w:rPr>
        <w:t xml:space="preserve">-02, </w:t>
      </w:r>
      <w:proofErr w:type="spellStart"/>
      <w:r w:rsidR="008B2D7B">
        <w:rPr>
          <w:rFonts w:ascii="Times New Roman" w:hAnsi="Times New Roman"/>
          <w:sz w:val="24"/>
          <w:szCs w:val="24"/>
          <w:lang w:eastAsia="ru-RU" w:bidi="ru-RU"/>
        </w:rPr>
        <w:t>п</w:t>
      </w:r>
      <w:r w:rsidR="008B2D7B" w:rsidRPr="008B2D7B">
        <w:rPr>
          <w:rFonts w:ascii="Times New Roman" w:hAnsi="Times New Roman"/>
          <w:sz w:val="24"/>
          <w:szCs w:val="24"/>
        </w:rPr>
        <w:t>ротивопролежневы</w:t>
      </w:r>
      <w:r w:rsidR="009E1BDF">
        <w:rPr>
          <w:rFonts w:ascii="Times New Roman" w:hAnsi="Times New Roman"/>
          <w:sz w:val="24"/>
          <w:szCs w:val="24"/>
        </w:rPr>
        <w:t>е</w:t>
      </w:r>
      <w:proofErr w:type="spellEnd"/>
      <w:r w:rsidR="008B2D7B" w:rsidRPr="008B2D7B">
        <w:rPr>
          <w:rFonts w:ascii="Times New Roman" w:hAnsi="Times New Roman"/>
          <w:sz w:val="24"/>
          <w:szCs w:val="24"/>
        </w:rPr>
        <w:t xml:space="preserve"> </w:t>
      </w:r>
      <w:r w:rsidR="009E1BDF">
        <w:rPr>
          <w:rFonts w:ascii="Times New Roman" w:hAnsi="Times New Roman"/>
          <w:sz w:val="24"/>
          <w:szCs w:val="24"/>
        </w:rPr>
        <w:t>подушки</w:t>
      </w:r>
      <w:r w:rsidR="008B2D7B" w:rsidRPr="008B2D7B">
        <w:rPr>
          <w:rFonts w:ascii="Times New Roman" w:hAnsi="Times New Roman"/>
          <w:sz w:val="24"/>
          <w:szCs w:val="24"/>
        </w:rPr>
        <w:t xml:space="preserve"> воздушны</w:t>
      </w:r>
      <w:r w:rsidR="009E1BDF">
        <w:rPr>
          <w:rFonts w:ascii="Times New Roman" w:hAnsi="Times New Roman"/>
          <w:sz w:val="24"/>
          <w:szCs w:val="24"/>
        </w:rPr>
        <w:t>е</w:t>
      </w:r>
      <w:r w:rsidR="008B2D7B" w:rsidRPr="008B2D7B">
        <w:rPr>
          <w:rFonts w:ascii="Times New Roman" w:hAnsi="Times New Roman"/>
          <w:sz w:val="24"/>
          <w:szCs w:val="24"/>
        </w:rPr>
        <w:t xml:space="preserve"> </w:t>
      </w:r>
      <w:r w:rsidR="008B2D7B">
        <w:rPr>
          <w:rFonts w:ascii="Times New Roman" w:hAnsi="Times New Roman"/>
          <w:sz w:val="24"/>
          <w:szCs w:val="24"/>
        </w:rPr>
        <w:t>10-0</w:t>
      </w:r>
      <w:r w:rsidR="009E1BDF">
        <w:rPr>
          <w:rFonts w:ascii="Times New Roman" w:hAnsi="Times New Roman"/>
          <w:sz w:val="24"/>
          <w:szCs w:val="24"/>
        </w:rPr>
        <w:t>2</w:t>
      </w:r>
      <w:r w:rsidR="008B2D7B">
        <w:rPr>
          <w:rFonts w:ascii="Times New Roman" w:hAnsi="Times New Roman"/>
          <w:sz w:val="24"/>
          <w:szCs w:val="24"/>
        </w:rPr>
        <w:t xml:space="preserve">-03 </w:t>
      </w:r>
      <w:r w:rsidR="00926BB3" w:rsidRPr="008B2D7B">
        <w:rPr>
          <w:rFonts w:ascii="Times New Roman" w:hAnsi="Times New Roman"/>
          <w:sz w:val="24"/>
          <w:szCs w:val="24"/>
          <w:lang w:eastAsia="ru-RU" w:bidi="ru-RU"/>
        </w:rPr>
        <w:t>должны иметь действующее регистрационное удостоверение, выданное Федеральной службой по надзору в сфере здравоохранения.</w:t>
      </w:r>
    </w:p>
    <w:p w:rsidR="003C11C8" w:rsidRPr="008B2D7B" w:rsidRDefault="003C11C8" w:rsidP="003C1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5245"/>
        <w:gridCol w:w="567"/>
        <w:gridCol w:w="992"/>
        <w:gridCol w:w="1134"/>
      </w:tblGrid>
      <w:tr w:rsidR="004F2725" w:rsidTr="003C11C8">
        <w:tc>
          <w:tcPr>
            <w:tcW w:w="2518" w:type="dxa"/>
            <w:vAlign w:val="center"/>
          </w:tcPr>
          <w:p w:rsidR="004F2725" w:rsidRPr="003C11C8" w:rsidRDefault="004F2725" w:rsidP="003C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1C8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5245" w:type="dxa"/>
            <w:vAlign w:val="center"/>
          </w:tcPr>
          <w:p w:rsidR="004F2725" w:rsidRPr="003C11C8" w:rsidRDefault="004F2725" w:rsidP="003C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1C8">
              <w:rPr>
                <w:rFonts w:ascii="Times New Roman" w:hAnsi="Times New Roman"/>
                <w:b/>
                <w:sz w:val="18"/>
                <w:szCs w:val="18"/>
              </w:rPr>
              <w:t>Требования, предъявляемые к характеристикам Товара</w:t>
            </w:r>
          </w:p>
        </w:tc>
        <w:tc>
          <w:tcPr>
            <w:tcW w:w="567" w:type="dxa"/>
            <w:vAlign w:val="center"/>
          </w:tcPr>
          <w:p w:rsidR="004F2725" w:rsidRPr="003C11C8" w:rsidRDefault="004F2725" w:rsidP="003C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 w:rsidRPr="003C11C8">
              <w:rPr>
                <w:rFonts w:ascii="Times New Roman" w:hAnsi="Times New Roman"/>
                <w:b/>
                <w:sz w:val="18"/>
                <w:szCs w:val="18"/>
              </w:rPr>
              <w:t>Кол-во, шт.</w:t>
            </w:r>
          </w:p>
        </w:tc>
        <w:tc>
          <w:tcPr>
            <w:tcW w:w="992" w:type="dxa"/>
            <w:vAlign w:val="center"/>
          </w:tcPr>
          <w:p w:rsidR="004F2725" w:rsidRPr="003C11C8" w:rsidRDefault="004F2725" w:rsidP="003C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1C8">
              <w:rPr>
                <w:rFonts w:ascii="Times New Roman" w:hAnsi="Times New Roman"/>
                <w:b/>
                <w:sz w:val="18"/>
                <w:szCs w:val="18"/>
              </w:rPr>
              <w:t>Цена за ед., руб.</w:t>
            </w:r>
          </w:p>
        </w:tc>
        <w:tc>
          <w:tcPr>
            <w:tcW w:w="1134" w:type="dxa"/>
            <w:vAlign w:val="center"/>
          </w:tcPr>
          <w:p w:rsidR="004F2725" w:rsidRPr="003C11C8" w:rsidRDefault="004F2725" w:rsidP="003C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1C8">
              <w:rPr>
                <w:rFonts w:ascii="Times New Roman" w:hAnsi="Times New Roman"/>
                <w:b/>
                <w:sz w:val="18"/>
                <w:szCs w:val="18"/>
              </w:rPr>
              <w:t>Стоимость, руб.</w:t>
            </w:r>
          </w:p>
        </w:tc>
      </w:tr>
      <w:tr w:rsidR="009E1BDF" w:rsidTr="003C11C8">
        <w:tc>
          <w:tcPr>
            <w:tcW w:w="2518" w:type="dxa"/>
            <w:vAlign w:val="center"/>
          </w:tcPr>
          <w:p w:rsidR="009E1BDF" w:rsidRPr="003C11C8" w:rsidRDefault="009E1BDF" w:rsidP="003C1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1C8">
              <w:rPr>
                <w:rFonts w:ascii="Times New Roman" w:hAnsi="Times New Roman"/>
              </w:rPr>
              <w:t>10-02-02</w:t>
            </w:r>
          </w:p>
          <w:p w:rsidR="009E1BDF" w:rsidRPr="003C11C8" w:rsidRDefault="009E1BDF" w:rsidP="003C1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C11C8">
              <w:rPr>
                <w:rFonts w:ascii="Times New Roman" w:hAnsi="Times New Roman"/>
              </w:rPr>
              <w:t>Противопролежневые</w:t>
            </w:r>
            <w:proofErr w:type="spellEnd"/>
            <w:r w:rsidRPr="003C11C8">
              <w:rPr>
                <w:rFonts w:ascii="Times New Roman" w:hAnsi="Times New Roman"/>
              </w:rPr>
              <w:t xml:space="preserve"> подушки </w:t>
            </w:r>
            <w:proofErr w:type="spellStart"/>
            <w:r w:rsidRPr="003C11C8">
              <w:rPr>
                <w:rFonts w:ascii="Times New Roman" w:hAnsi="Times New Roman"/>
              </w:rPr>
              <w:t>гелевые</w:t>
            </w:r>
            <w:proofErr w:type="spellEnd"/>
          </w:p>
        </w:tc>
        <w:tc>
          <w:tcPr>
            <w:tcW w:w="5245" w:type="dxa"/>
            <w:vAlign w:val="center"/>
          </w:tcPr>
          <w:p w:rsidR="00CB314E" w:rsidRPr="003C11C8" w:rsidRDefault="00CB314E" w:rsidP="003C11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1C8">
              <w:rPr>
                <w:rFonts w:ascii="Times New Roman" w:hAnsi="Times New Roman"/>
                <w:b/>
              </w:rPr>
              <w:t xml:space="preserve">КТРУ 22.19.71.190-00000002 – Подушка для сидения с </w:t>
            </w:r>
            <w:proofErr w:type="spellStart"/>
            <w:r w:rsidRPr="003C11C8">
              <w:rPr>
                <w:rFonts w:ascii="Times New Roman" w:hAnsi="Times New Roman"/>
                <w:b/>
              </w:rPr>
              <w:t>гелевым</w:t>
            </w:r>
            <w:proofErr w:type="spellEnd"/>
            <w:r w:rsidRPr="003C11C8">
              <w:rPr>
                <w:rFonts w:ascii="Times New Roman" w:hAnsi="Times New Roman"/>
                <w:b/>
              </w:rPr>
              <w:t xml:space="preserve"> наполнителем </w:t>
            </w:r>
          </w:p>
          <w:p w:rsidR="009E1BDF" w:rsidRPr="003C11C8" w:rsidRDefault="009E1BDF" w:rsidP="003C1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1C8">
              <w:rPr>
                <w:rFonts w:ascii="Times New Roman" w:hAnsi="Times New Roman"/>
              </w:rPr>
              <w:t xml:space="preserve">Подушка </w:t>
            </w:r>
            <w:proofErr w:type="spellStart"/>
            <w:r w:rsidRPr="003C11C8">
              <w:rPr>
                <w:rFonts w:ascii="Times New Roman" w:hAnsi="Times New Roman"/>
              </w:rPr>
              <w:t>противопролежневая</w:t>
            </w:r>
            <w:proofErr w:type="spellEnd"/>
            <w:r w:rsidRPr="003C11C8">
              <w:rPr>
                <w:rFonts w:ascii="Times New Roman" w:hAnsi="Times New Roman"/>
              </w:rPr>
              <w:t xml:space="preserve"> (</w:t>
            </w:r>
            <w:proofErr w:type="spellStart"/>
            <w:r w:rsidRPr="003C11C8">
              <w:rPr>
                <w:rFonts w:ascii="Times New Roman" w:hAnsi="Times New Roman"/>
              </w:rPr>
              <w:t>гелевая</w:t>
            </w:r>
            <w:proofErr w:type="spellEnd"/>
            <w:r w:rsidRPr="003C11C8">
              <w:rPr>
                <w:rFonts w:ascii="Times New Roman" w:hAnsi="Times New Roman"/>
              </w:rPr>
              <w:t xml:space="preserve">) должна быть предназначена для профилактики пролежней у людей с нарушением функции опорно-двигательного аппарата и нервной системы. </w:t>
            </w:r>
          </w:p>
          <w:p w:rsidR="009E1BDF" w:rsidRPr="003C11C8" w:rsidRDefault="009E1BDF" w:rsidP="003C1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1C8">
              <w:rPr>
                <w:rFonts w:ascii="Times New Roman" w:hAnsi="Times New Roman"/>
              </w:rPr>
              <w:t xml:space="preserve">Наполняемость подушек должен быть: гель или </w:t>
            </w:r>
            <w:proofErr w:type="spellStart"/>
            <w:r w:rsidRPr="003C11C8">
              <w:rPr>
                <w:rFonts w:ascii="Times New Roman" w:hAnsi="Times New Roman"/>
              </w:rPr>
              <w:t>гелевые</w:t>
            </w:r>
            <w:proofErr w:type="spellEnd"/>
            <w:r w:rsidRPr="003C11C8">
              <w:rPr>
                <w:rFonts w:ascii="Times New Roman" w:hAnsi="Times New Roman"/>
              </w:rPr>
              <w:t xml:space="preserve"> элементы, или </w:t>
            </w:r>
            <w:proofErr w:type="spellStart"/>
            <w:r w:rsidRPr="003C11C8">
              <w:rPr>
                <w:rFonts w:ascii="Times New Roman" w:hAnsi="Times New Roman"/>
              </w:rPr>
              <w:t>гелевые</w:t>
            </w:r>
            <w:proofErr w:type="spellEnd"/>
            <w:r w:rsidRPr="003C11C8">
              <w:rPr>
                <w:rFonts w:ascii="Times New Roman" w:hAnsi="Times New Roman"/>
              </w:rPr>
              <w:t xml:space="preserve"> вставки. </w:t>
            </w:r>
          </w:p>
          <w:p w:rsidR="009E1BDF" w:rsidRPr="003C11C8" w:rsidRDefault="009E1BDF" w:rsidP="003C1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1C8">
              <w:rPr>
                <w:rFonts w:ascii="Times New Roman" w:hAnsi="Times New Roman"/>
              </w:rPr>
              <w:t>Допустимая нагрузка на Товар не менее 120 кг.</w:t>
            </w:r>
          </w:p>
          <w:p w:rsidR="009E1BDF" w:rsidRPr="003C11C8" w:rsidRDefault="009E1BDF" w:rsidP="003C1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1C8">
              <w:rPr>
                <w:rFonts w:ascii="Times New Roman" w:hAnsi="Times New Roman"/>
              </w:rPr>
              <w:t>Размер изделия должен быть: длина не менее 40 см, ширина не менее 40 см, толщина не менее 4 см.</w:t>
            </w:r>
          </w:p>
          <w:p w:rsidR="009E1BDF" w:rsidRPr="003C11C8" w:rsidRDefault="009E1BDF" w:rsidP="003C11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1C8">
              <w:rPr>
                <w:rFonts w:ascii="Times New Roman" w:hAnsi="Times New Roman"/>
              </w:rPr>
              <w:t xml:space="preserve">Товар должен поставляться в комплекте с быстросъемным наружным чехлом. Материал чехла должен быть нетоксичный, </w:t>
            </w:r>
            <w:proofErr w:type="spellStart"/>
            <w:r w:rsidRPr="003C11C8">
              <w:rPr>
                <w:rFonts w:ascii="Times New Roman" w:hAnsi="Times New Roman"/>
              </w:rPr>
              <w:t>гипоаллергенный</w:t>
            </w:r>
            <w:proofErr w:type="spellEnd"/>
            <w:r w:rsidRPr="003C11C8">
              <w:rPr>
                <w:rFonts w:ascii="Times New Roman" w:hAnsi="Times New Roman"/>
              </w:rPr>
              <w:t>, должен позволять проводить санитарную обработку, должен быть стойкий к микроорганизмам и плесени.</w:t>
            </w:r>
          </w:p>
        </w:tc>
        <w:tc>
          <w:tcPr>
            <w:tcW w:w="567" w:type="dxa"/>
            <w:vAlign w:val="center"/>
          </w:tcPr>
          <w:p w:rsidR="009E1BDF" w:rsidRPr="003C11C8" w:rsidRDefault="005B22A6" w:rsidP="003C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1C8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992" w:type="dxa"/>
            <w:vAlign w:val="center"/>
          </w:tcPr>
          <w:p w:rsidR="009E1BDF" w:rsidRPr="003C11C8" w:rsidRDefault="003C11C8" w:rsidP="003C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1461,58</w:t>
            </w:r>
          </w:p>
        </w:tc>
        <w:tc>
          <w:tcPr>
            <w:tcW w:w="1134" w:type="dxa"/>
            <w:vAlign w:val="center"/>
          </w:tcPr>
          <w:p w:rsidR="009E1BDF" w:rsidRPr="003C11C8" w:rsidRDefault="003C11C8" w:rsidP="003C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23385,28</w:t>
            </w:r>
          </w:p>
        </w:tc>
      </w:tr>
      <w:tr w:rsidR="009E1BDF" w:rsidTr="003C11C8">
        <w:tc>
          <w:tcPr>
            <w:tcW w:w="2518" w:type="dxa"/>
            <w:vAlign w:val="center"/>
          </w:tcPr>
          <w:p w:rsidR="009E1BDF" w:rsidRPr="003C11C8" w:rsidRDefault="009E1BDF" w:rsidP="003C1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1C8">
              <w:rPr>
                <w:rFonts w:ascii="Times New Roman" w:hAnsi="Times New Roman"/>
              </w:rPr>
              <w:t>10-02-03</w:t>
            </w:r>
          </w:p>
          <w:p w:rsidR="009E1BDF" w:rsidRPr="003C11C8" w:rsidRDefault="009E1BDF" w:rsidP="003C1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C11C8">
              <w:rPr>
                <w:rFonts w:ascii="Times New Roman" w:hAnsi="Times New Roman"/>
              </w:rPr>
              <w:t>Противопролежневые</w:t>
            </w:r>
            <w:proofErr w:type="spellEnd"/>
            <w:r w:rsidRPr="003C11C8">
              <w:rPr>
                <w:rFonts w:ascii="Times New Roman" w:hAnsi="Times New Roman"/>
              </w:rPr>
              <w:t xml:space="preserve"> подушки воздушные</w:t>
            </w:r>
          </w:p>
        </w:tc>
        <w:tc>
          <w:tcPr>
            <w:tcW w:w="5245" w:type="dxa"/>
            <w:vAlign w:val="center"/>
          </w:tcPr>
          <w:p w:rsidR="00CB314E" w:rsidRPr="003C11C8" w:rsidRDefault="00CB314E" w:rsidP="003C11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1C8">
              <w:rPr>
                <w:rFonts w:ascii="Times New Roman" w:hAnsi="Times New Roman"/>
                <w:b/>
              </w:rPr>
              <w:t xml:space="preserve">КТРУ 22.19.71.190-00000001 – Подушка </w:t>
            </w:r>
            <w:proofErr w:type="spellStart"/>
            <w:r w:rsidRPr="003C11C8">
              <w:rPr>
                <w:rFonts w:ascii="Times New Roman" w:hAnsi="Times New Roman"/>
                <w:b/>
              </w:rPr>
              <w:t>противопролежневая</w:t>
            </w:r>
            <w:proofErr w:type="spellEnd"/>
            <w:r w:rsidRPr="003C11C8">
              <w:rPr>
                <w:rFonts w:ascii="Times New Roman" w:hAnsi="Times New Roman"/>
                <w:b/>
              </w:rPr>
              <w:t xml:space="preserve"> надувная для сидения </w:t>
            </w:r>
          </w:p>
          <w:p w:rsidR="009E1BDF" w:rsidRPr="003C11C8" w:rsidRDefault="009E1BDF" w:rsidP="003C1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1C8">
              <w:rPr>
                <w:rFonts w:ascii="Times New Roman" w:hAnsi="Times New Roman"/>
              </w:rPr>
              <w:t xml:space="preserve">Подушка </w:t>
            </w:r>
            <w:proofErr w:type="spellStart"/>
            <w:r w:rsidRPr="003C11C8">
              <w:rPr>
                <w:rFonts w:ascii="Times New Roman" w:hAnsi="Times New Roman"/>
              </w:rPr>
              <w:t>противопролежневая</w:t>
            </w:r>
            <w:proofErr w:type="spellEnd"/>
            <w:r w:rsidRPr="003C11C8">
              <w:rPr>
                <w:rFonts w:ascii="Times New Roman" w:hAnsi="Times New Roman"/>
              </w:rPr>
              <w:t xml:space="preserve"> (воздушная) должна быть предназначена для профилактики пролежней у людей с нарушением функции опорно-двигательного аппарата и нервной системы. </w:t>
            </w:r>
          </w:p>
          <w:p w:rsidR="009E1BDF" w:rsidRPr="003C11C8" w:rsidRDefault="009E1BDF" w:rsidP="003C1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1C8">
              <w:rPr>
                <w:rFonts w:ascii="Times New Roman" w:hAnsi="Times New Roman"/>
              </w:rPr>
              <w:t xml:space="preserve">Наполняемость </w:t>
            </w:r>
            <w:proofErr w:type="spellStart"/>
            <w:r w:rsidRPr="003C11C8">
              <w:rPr>
                <w:rFonts w:ascii="Times New Roman" w:hAnsi="Times New Roman"/>
              </w:rPr>
              <w:t>противопролежневых</w:t>
            </w:r>
            <w:proofErr w:type="spellEnd"/>
            <w:r w:rsidRPr="003C11C8">
              <w:rPr>
                <w:rFonts w:ascii="Times New Roman" w:hAnsi="Times New Roman"/>
              </w:rPr>
              <w:t xml:space="preserve"> подушек (воздушных) должен быть: воздух.</w:t>
            </w:r>
          </w:p>
          <w:p w:rsidR="009E1BDF" w:rsidRPr="003C11C8" w:rsidRDefault="009E1BDF" w:rsidP="003C1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1C8">
              <w:rPr>
                <w:rFonts w:ascii="Times New Roman" w:hAnsi="Times New Roman"/>
              </w:rPr>
              <w:t xml:space="preserve">Должно </w:t>
            </w:r>
            <w:proofErr w:type="gramStart"/>
            <w:r w:rsidRPr="003C11C8">
              <w:rPr>
                <w:rFonts w:ascii="Times New Roman" w:hAnsi="Times New Roman"/>
              </w:rPr>
              <w:t>быть</w:t>
            </w:r>
            <w:proofErr w:type="gramEnd"/>
            <w:r w:rsidRPr="003C11C8">
              <w:rPr>
                <w:rFonts w:ascii="Times New Roman" w:hAnsi="Times New Roman"/>
              </w:rPr>
              <w:t xml:space="preserve"> перетекание воздуха между ячейками по всей поверхности подушки.</w:t>
            </w:r>
          </w:p>
          <w:p w:rsidR="009E1BDF" w:rsidRPr="003C11C8" w:rsidRDefault="009E1BDF" w:rsidP="003C1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1C8">
              <w:rPr>
                <w:rFonts w:ascii="Times New Roman" w:hAnsi="Times New Roman"/>
              </w:rPr>
              <w:t>Должна быть циркуляция воздуха.</w:t>
            </w:r>
          </w:p>
          <w:p w:rsidR="009E1BDF" w:rsidRPr="003C11C8" w:rsidRDefault="009E1BDF" w:rsidP="003C1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1C8">
              <w:rPr>
                <w:rFonts w:ascii="Times New Roman" w:hAnsi="Times New Roman"/>
              </w:rPr>
              <w:t>Допустимая нагрузка на Товар не менее 120 кг.</w:t>
            </w:r>
          </w:p>
          <w:p w:rsidR="009E1BDF" w:rsidRPr="003C11C8" w:rsidRDefault="009E1BDF" w:rsidP="003C11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11C8">
              <w:rPr>
                <w:rFonts w:ascii="Times New Roman" w:hAnsi="Times New Roman"/>
              </w:rPr>
              <w:t>Размер изделия должен быть: длина не менее 40 см, ширина не менее 40 см, толщина не менее 4 см.</w:t>
            </w:r>
          </w:p>
        </w:tc>
        <w:tc>
          <w:tcPr>
            <w:tcW w:w="567" w:type="dxa"/>
            <w:vAlign w:val="center"/>
          </w:tcPr>
          <w:p w:rsidR="009E1BDF" w:rsidRPr="003C11C8" w:rsidRDefault="00E33105" w:rsidP="003C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1C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9E1BDF" w:rsidRPr="003C11C8" w:rsidRDefault="003C11C8" w:rsidP="003C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1153,10</w:t>
            </w:r>
          </w:p>
        </w:tc>
        <w:tc>
          <w:tcPr>
            <w:tcW w:w="1134" w:type="dxa"/>
            <w:vAlign w:val="center"/>
          </w:tcPr>
          <w:p w:rsidR="009E1BDF" w:rsidRPr="003C11C8" w:rsidRDefault="003C11C8" w:rsidP="003C11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2306,20</w:t>
            </w:r>
          </w:p>
        </w:tc>
      </w:tr>
      <w:tr w:rsidR="003C11C8" w:rsidTr="003C68E8">
        <w:trPr>
          <w:trHeight w:val="70"/>
        </w:trPr>
        <w:tc>
          <w:tcPr>
            <w:tcW w:w="7763" w:type="dxa"/>
            <w:gridSpan w:val="2"/>
            <w:vAlign w:val="center"/>
          </w:tcPr>
          <w:p w:rsidR="003C11C8" w:rsidRPr="003C11C8" w:rsidRDefault="003C11C8" w:rsidP="003C1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C11C8">
              <w:rPr>
                <w:rFonts w:ascii="Times New Roman" w:eastAsia="Times New Roman" w:hAnsi="Times New Roman"/>
                <w:b/>
                <w:lang w:eastAsia="ar-SA"/>
              </w:rPr>
              <w:t>ИТОГО:</w:t>
            </w:r>
          </w:p>
        </w:tc>
        <w:tc>
          <w:tcPr>
            <w:tcW w:w="567" w:type="dxa"/>
            <w:vAlign w:val="center"/>
          </w:tcPr>
          <w:p w:rsidR="003C11C8" w:rsidRPr="003C11C8" w:rsidRDefault="003C11C8" w:rsidP="003C11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11C8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2126" w:type="dxa"/>
            <w:gridSpan w:val="2"/>
            <w:vAlign w:val="center"/>
          </w:tcPr>
          <w:p w:rsidR="003C11C8" w:rsidRPr="003C11C8" w:rsidRDefault="003C11C8" w:rsidP="003C11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25 691,48</w:t>
            </w:r>
          </w:p>
        </w:tc>
      </w:tr>
    </w:tbl>
    <w:p w:rsidR="003C11C8" w:rsidRDefault="003C11C8" w:rsidP="003C11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A3F2C" w:rsidRDefault="002A3F2C" w:rsidP="003C11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C4C2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Требования к качеству Товара и безопасности Товара</w:t>
      </w:r>
    </w:p>
    <w:p w:rsidR="000A7EFD" w:rsidRPr="00775AC4" w:rsidRDefault="000A7EFD" w:rsidP="003C11C8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/>
          <w:sz w:val="24"/>
          <w:szCs w:val="24"/>
          <w:lang w:eastAsia="ar-SA"/>
        </w:rPr>
      </w:pPr>
      <w:r w:rsidRPr="00775AC4">
        <w:rPr>
          <w:rFonts w:ascii="Times New Roman" w:eastAsia="Arial" w:hAnsi="Times New Roman"/>
          <w:sz w:val="24"/>
          <w:szCs w:val="24"/>
          <w:lang w:eastAsia="ar-SA"/>
        </w:rPr>
        <w:t xml:space="preserve">Товар должен обеспечивать Получателю профилактику и лечение пролежней средней и высокой степени риска при заболеваниях опорно-двигательного аппарата и центральной нервной системы, тяжелых соматических заболеваниях, сопровождающихся длительным вынужденным неподвижным положением тела. Товар может быть использован в 24-часовом режиме ухода за Получателем. </w:t>
      </w:r>
    </w:p>
    <w:p w:rsidR="000A7EFD" w:rsidRPr="00775AC4" w:rsidRDefault="000A7EFD" w:rsidP="003C11C8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/>
          <w:sz w:val="24"/>
          <w:szCs w:val="24"/>
          <w:lang w:eastAsia="ar-SA"/>
        </w:rPr>
      </w:pPr>
      <w:r w:rsidRPr="00775AC4">
        <w:rPr>
          <w:rFonts w:ascii="Times New Roman" w:eastAsia="Arial" w:hAnsi="Times New Roman"/>
          <w:sz w:val="24"/>
          <w:szCs w:val="24"/>
          <w:lang w:eastAsia="ar-SA"/>
        </w:rPr>
        <w:t xml:space="preserve">Товар должен соответствовать требованиям ГОСТ Р </w:t>
      </w:r>
      <w:r w:rsidR="00867473">
        <w:rPr>
          <w:rFonts w:ascii="Times New Roman" w:eastAsia="Arial" w:hAnsi="Times New Roman"/>
          <w:sz w:val="24"/>
          <w:szCs w:val="24"/>
          <w:lang w:eastAsia="ar-SA"/>
        </w:rPr>
        <w:t>51632-2021</w:t>
      </w:r>
      <w:r w:rsidRPr="00775AC4">
        <w:rPr>
          <w:rFonts w:ascii="Times New Roman" w:eastAsia="Arial" w:hAnsi="Times New Roman"/>
          <w:sz w:val="24"/>
          <w:szCs w:val="24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 Часть 4. «Общие технические требования». ГОСТ Р 50444-2020 «Приборы, аппараты и оборудование медицинские. Общие технические условия» раздел 3 «Технические требования», раздел 4 «Требования безопасности».</w:t>
      </w:r>
    </w:p>
    <w:p w:rsidR="000A7EFD" w:rsidRPr="00775AC4" w:rsidRDefault="000A7EFD" w:rsidP="003C11C8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/>
          <w:sz w:val="24"/>
          <w:szCs w:val="24"/>
          <w:lang w:eastAsia="ar-SA"/>
        </w:rPr>
      </w:pPr>
      <w:r w:rsidRPr="001A3B69">
        <w:rPr>
          <w:rFonts w:ascii="Times New Roman" w:eastAsia="Arial" w:hAnsi="Times New Roman"/>
          <w:sz w:val="24"/>
          <w:szCs w:val="24"/>
          <w:lang w:eastAsia="ar-SA"/>
        </w:rPr>
        <w:t>Товар должен быть новым (ранее неиспользованным), не содержать восстановленных или бывших в употреблении элементов, не иметь дефектов, связанных с конструкцией, материалами или функционированием при штатном использовании.</w:t>
      </w:r>
    </w:p>
    <w:p w:rsidR="000A7EFD" w:rsidRDefault="000A7EFD" w:rsidP="003C11C8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/>
          <w:sz w:val="24"/>
          <w:szCs w:val="24"/>
          <w:lang w:eastAsia="ar-SA"/>
        </w:rPr>
      </w:pPr>
      <w:r w:rsidRPr="00775AC4">
        <w:rPr>
          <w:rFonts w:ascii="Times New Roman" w:eastAsia="Arial" w:hAnsi="Times New Roman"/>
          <w:sz w:val="24"/>
          <w:szCs w:val="24"/>
          <w:lang w:eastAsia="ar-SA"/>
        </w:rPr>
        <w:t xml:space="preserve">Материалы, применяемые для изготовления Товара, не должны содержать токсичных компонентов должны быть изготовлены из специального </w:t>
      </w:r>
      <w:proofErr w:type="spellStart"/>
      <w:r w:rsidRPr="00775AC4">
        <w:rPr>
          <w:rFonts w:ascii="Times New Roman" w:eastAsia="Arial" w:hAnsi="Times New Roman"/>
          <w:sz w:val="24"/>
          <w:szCs w:val="24"/>
          <w:lang w:eastAsia="ar-SA"/>
        </w:rPr>
        <w:t>гипоаллергенного</w:t>
      </w:r>
      <w:proofErr w:type="spellEnd"/>
      <w:r w:rsidRPr="00775AC4">
        <w:rPr>
          <w:rFonts w:ascii="Times New Roman" w:eastAsia="Arial" w:hAnsi="Times New Roman"/>
          <w:sz w:val="24"/>
          <w:szCs w:val="24"/>
          <w:lang w:eastAsia="ar-SA"/>
        </w:rPr>
        <w:t xml:space="preserve"> водонепроницаемого </w:t>
      </w:r>
      <w:r w:rsidRPr="00775AC4">
        <w:rPr>
          <w:rFonts w:ascii="Times New Roman" w:eastAsia="Arial" w:hAnsi="Times New Roman"/>
          <w:sz w:val="24"/>
          <w:szCs w:val="24"/>
          <w:lang w:eastAsia="ar-SA"/>
        </w:rPr>
        <w:lastRenderedPageBreak/>
        <w:t>нетоксичного материала, который не впитывает запахи и позволяет проводить санитарную обработку.</w:t>
      </w:r>
    </w:p>
    <w:p w:rsidR="000A7EFD" w:rsidRDefault="000A7EFD" w:rsidP="003C11C8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0A7EFD" w:rsidRPr="00775AC4" w:rsidRDefault="000A7EFD" w:rsidP="003C11C8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/>
          <w:sz w:val="24"/>
          <w:szCs w:val="24"/>
          <w:lang w:eastAsia="ar-SA"/>
        </w:rPr>
      </w:pPr>
      <w:r w:rsidRPr="00775AC4">
        <w:rPr>
          <w:rFonts w:ascii="Times New Roman" w:eastAsia="Arial" w:hAnsi="Times New Roman"/>
          <w:sz w:val="24"/>
          <w:szCs w:val="24"/>
          <w:lang w:eastAsia="ar-SA"/>
        </w:rPr>
        <w:t>Материалы, применяемые для изготовления Товара должны соответствовать требованиям нормативной д</w:t>
      </w:r>
      <w:r w:rsidR="00867473">
        <w:rPr>
          <w:rFonts w:ascii="Times New Roman" w:eastAsia="Arial" w:hAnsi="Times New Roman"/>
          <w:sz w:val="24"/>
          <w:szCs w:val="24"/>
          <w:lang w:eastAsia="ar-SA"/>
        </w:rPr>
        <w:t>окументации ГОСТ ISO 10993-1-202</w:t>
      </w:r>
      <w:r w:rsidRPr="00775AC4">
        <w:rPr>
          <w:rFonts w:ascii="Times New Roman" w:eastAsia="Arial" w:hAnsi="Times New Roman"/>
          <w:sz w:val="24"/>
          <w:szCs w:val="24"/>
          <w:lang w:eastAsia="ar-SA"/>
        </w:rPr>
        <w:t>1 «Изделия медицинские. Оценка биологического действия медицинских изделий</w:t>
      </w:r>
      <w:r w:rsidR="00867473">
        <w:rPr>
          <w:rFonts w:ascii="Times New Roman" w:eastAsia="Arial" w:hAnsi="Times New Roman"/>
          <w:sz w:val="24"/>
          <w:szCs w:val="24"/>
          <w:lang w:eastAsia="ar-SA"/>
        </w:rPr>
        <w:t>. Часть 1. Оценка и исследования в процессе менеджмента риска</w:t>
      </w:r>
      <w:r w:rsidRPr="00775AC4">
        <w:rPr>
          <w:rFonts w:ascii="Times New Roman" w:eastAsia="Arial" w:hAnsi="Times New Roman"/>
          <w:sz w:val="24"/>
          <w:szCs w:val="24"/>
          <w:lang w:eastAsia="ar-SA"/>
        </w:rPr>
        <w:t xml:space="preserve">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775AC4">
        <w:rPr>
          <w:rFonts w:ascii="Times New Roman" w:eastAsia="Arial" w:hAnsi="Times New Roman"/>
          <w:sz w:val="24"/>
          <w:szCs w:val="24"/>
          <w:lang w:eastAsia="ar-SA"/>
        </w:rPr>
        <w:t>цитотоксичность</w:t>
      </w:r>
      <w:proofErr w:type="spellEnd"/>
      <w:r w:rsidRPr="00775AC4">
        <w:rPr>
          <w:rFonts w:ascii="Times New Roman" w:eastAsia="Arial" w:hAnsi="Times New Roman"/>
          <w:sz w:val="24"/>
          <w:szCs w:val="24"/>
          <w:lang w:eastAsia="ar-SA"/>
        </w:rPr>
        <w:t xml:space="preserve">: методы </w:t>
      </w:r>
      <w:proofErr w:type="spellStart"/>
      <w:r w:rsidRPr="00775AC4">
        <w:rPr>
          <w:rFonts w:ascii="Times New Roman" w:eastAsia="Arial" w:hAnsi="Times New Roman"/>
          <w:sz w:val="24"/>
          <w:szCs w:val="24"/>
          <w:lang w:eastAsia="ar-SA"/>
        </w:rPr>
        <w:t>in</w:t>
      </w:r>
      <w:proofErr w:type="spellEnd"/>
      <w:r w:rsidRPr="00775AC4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proofErr w:type="spellStart"/>
      <w:r w:rsidRPr="00775AC4">
        <w:rPr>
          <w:rFonts w:ascii="Times New Roman" w:eastAsia="Arial" w:hAnsi="Times New Roman"/>
          <w:sz w:val="24"/>
          <w:szCs w:val="24"/>
          <w:lang w:eastAsia="ar-SA"/>
        </w:rPr>
        <w:t>vitro</w:t>
      </w:r>
      <w:proofErr w:type="spellEnd"/>
      <w:r w:rsidRPr="00775AC4">
        <w:rPr>
          <w:rFonts w:ascii="Times New Roman" w:eastAsia="Arial" w:hAnsi="Times New Roman"/>
          <w:sz w:val="24"/>
          <w:szCs w:val="24"/>
          <w:lang w:eastAsia="ar-SA"/>
        </w:rPr>
        <w:t>», ГОСТ ISO 10993-10-2011 «Изделия медицинские. Оценка биологического действия медицинских изделий. Часть 10. Исследование раздражающего и сенсибилизирующ</w:t>
      </w:r>
      <w:r w:rsidR="00B053DD">
        <w:rPr>
          <w:rFonts w:ascii="Times New Roman" w:eastAsia="Arial" w:hAnsi="Times New Roman"/>
          <w:sz w:val="24"/>
          <w:szCs w:val="24"/>
          <w:lang w:eastAsia="ar-SA"/>
        </w:rPr>
        <w:t>его действия», ГОСТ Р 52770-2023</w:t>
      </w:r>
      <w:r w:rsidRPr="00775AC4">
        <w:rPr>
          <w:rFonts w:ascii="Times New Roman" w:eastAsia="Arial" w:hAnsi="Times New Roman"/>
          <w:sz w:val="24"/>
          <w:szCs w:val="24"/>
          <w:lang w:eastAsia="ar-SA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</w:p>
    <w:p w:rsidR="000A7EFD" w:rsidRDefault="000A7EFD" w:rsidP="003C11C8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" w:hAnsi="Times New Roman"/>
          <w:sz w:val="24"/>
          <w:szCs w:val="24"/>
          <w:lang w:eastAsia="ar-SA"/>
        </w:rPr>
      </w:pPr>
      <w:r w:rsidRPr="00775AC4">
        <w:rPr>
          <w:rFonts w:ascii="Times New Roman" w:eastAsia="Arial" w:hAnsi="Times New Roman"/>
          <w:sz w:val="24"/>
          <w:szCs w:val="24"/>
          <w:lang w:eastAsia="ar-SA"/>
        </w:rPr>
        <w:t>Товар не должен выделять при эксплуатации токсичных и агрессивных веществ. 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0A7EFD" w:rsidRDefault="000A7EFD" w:rsidP="003C11C8">
      <w:pPr>
        <w:suppressAutoHyphens/>
        <w:spacing w:after="0" w:line="240" w:lineRule="auto"/>
        <w:jc w:val="both"/>
        <w:outlineLv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2A3F2C" w:rsidRDefault="002A3F2C" w:rsidP="003C11C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C4C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</w:t>
      </w:r>
      <w:r w:rsidRPr="000C4C2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к маркировке, упаковке Товара</w:t>
      </w:r>
    </w:p>
    <w:p w:rsidR="002A3F2C" w:rsidRPr="002366D2" w:rsidRDefault="002A3F2C" w:rsidP="003C11C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366D2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Упаковка должна обеспечивать защиту Товара от повреждений, порчи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(изнашивания) или</w:t>
      </w:r>
      <w:r w:rsidRPr="002366D2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загрязнения, воздействия механических и климатических факторов во время транспортировки и хранения.</w:t>
      </w:r>
    </w:p>
    <w:p w:rsidR="002A3F2C" w:rsidRPr="002366D2" w:rsidRDefault="002A3F2C" w:rsidP="003C11C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366D2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Маркировка и упаковка должна включать:</w:t>
      </w:r>
    </w:p>
    <w:p w:rsidR="002A3F2C" w:rsidRPr="002366D2" w:rsidRDefault="002A3F2C" w:rsidP="003C11C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366D2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условное обозначение группы изделий, товарную марку (при наличии);</w:t>
      </w:r>
    </w:p>
    <w:p w:rsidR="002A3F2C" w:rsidRPr="002366D2" w:rsidRDefault="002A3F2C" w:rsidP="003C11C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366D2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страну-изготовителя;</w:t>
      </w:r>
      <w:r w:rsidR="007349A1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ab/>
      </w:r>
    </w:p>
    <w:p w:rsidR="002A3F2C" w:rsidRPr="002366D2" w:rsidRDefault="002A3F2C" w:rsidP="003C11C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366D2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2A3F2C" w:rsidRPr="002366D2" w:rsidRDefault="002A3F2C" w:rsidP="003C11C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366D2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отличительные характеристики изделий в соответствии с их техничным исполнением (при наличии);</w:t>
      </w:r>
    </w:p>
    <w:p w:rsidR="002A3F2C" w:rsidRPr="002366D2" w:rsidRDefault="002A3F2C" w:rsidP="003C11C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366D2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номер артикула (при наличии);</w:t>
      </w:r>
    </w:p>
    <w:p w:rsidR="002A3F2C" w:rsidRPr="002366D2" w:rsidRDefault="002A3F2C" w:rsidP="003C11C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366D2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количество изделий в упаковке;</w:t>
      </w:r>
    </w:p>
    <w:p w:rsidR="002A3F2C" w:rsidRPr="002366D2" w:rsidRDefault="002A3F2C" w:rsidP="003C11C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366D2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дату (месяц, год) изготовления, срок годности;</w:t>
      </w:r>
    </w:p>
    <w:p w:rsidR="002A3F2C" w:rsidRPr="002366D2" w:rsidRDefault="002A3F2C" w:rsidP="003C11C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366D2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правила пользования (при необходимости);</w:t>
      </w:r>
    </w:p>
    <w:p w:rsidR="002A3F2C" w:rsidRPr="002366D2" w:rsidRDefault="002A3F2C" w:rsidP="003C11C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366D2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штриховой код (при наличии);</w:t>
      </w:r>
    </w:p>
    <w:p w:rsidR="002A3F2C" w:rsidRDefault="002A3F2C" w:rsidP="003C11C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366D2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информацию о сертификации (при наличии).</w:t>
      </w:r>
    </w:p>
    <w:p w:rsidR="000A7EFD" w:rsidRDefault="000A7EFD" w:rsidP="003C11C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2A3F2C" w:rsidRDefault="002A3F2C" w:rsidP="003C11C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C4C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сроку и (или) объему предоставленных гарантий качества Товара</w:t>
      </w:r>
    </w:p>
    <w:p w:rsidR="002A3F2C" w:rsidRPr="007E5623" w:rsidRDefault="002A3F2C" w:rsidP="003C11C8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</w:t>
      </w:r>
      <w:r w:rsidRPr="00854482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05.03.2021 N 107н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A3F2C" w:rsidRDefault="002A3F2C" w:rsidP="003C11C8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Гарантия качества Товара составляет </w:t>
      </w:r>
      <w:r w:rsidR="007349A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не менее 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12</w:t>
      </w:r>
      <w:r w:rsidRPr="009D7AE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месяцев 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 даты передачи Товара получателю (представителю получателя). В течение срока действия гарантии Поставщик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должен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производит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ь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гарантийный ремонт Товара за счет собственных средств, а при невозможности или нецелесообразности проведен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ия гарантийного ремонта - заменить Товар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на новый. Срок гарантийного ремонта не должен превышать 20 рабочих дней со дня обращения Получателя 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:rsidR="002A3F2C" w:rsidRPr="007E5623" w:rsidRDefault="002A3F2C" w:rsidP="003C11C8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Обязательное указание адресов специализированных мастерских, в которые следует обращаться для гарантийного ремонта изделия или устранения неисправностей. </w:t>
      </w:r>
    </w:p>
    <w:p w:rsidR="002A3F2C" w:rsidRPr="00736B82" w:rsidRDefault="002A3F2C" w:rsidP="003C11C8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Обеспечение возможности ремонта и технического обслуживания, устранения недостатков, выявленных при эксплуатации Товара получателями 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должно осуществляться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в соответствии с Федеральным законом от 07.02.1992 г. № 2300-1 «О защите прав потребителей».</w:t>
      </w:r>
    </w:p>
    <w:p w:rsidR="002A3F2C" w:rsidRDefault="002A3F2C" w:rsidP="003C11C8">
      <w:pPr>
        <w:tabs>
          <w:tab w:val="left" w:pos="8445"/>
        </w:tabs>
        <w:suppressAutoHyphens/>
        <w:autoSpaceDN w:val="0"/>
        <w:spacing w:after="0" w:line="240" w:lineRule="auto"/>
        <w:ind w:left="-284" w:right="-2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2A3F2C" w:rsidRPr="00AD4E69" w:rsidRDefault="002A3F2C" w:rsidP="003C11C8">
      <w:pPr>
        <w:tabs>
          <w:tab w:val="left" w:pos="8445"/>
        </w:tabs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месту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условиям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и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срокам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(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периодам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)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поставки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</w:p>
    <w:p w:rsidR="002A3F2C" w:rsidRPr="007E5623" w:rsidRDefault="002A3F2C" w:rsidP="003C11C8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обязан:</w:t>
      </w:r>
    </w:p>
    <w:p w:rsidR="002A3F2C" w:rsidRPr="007E5623" w:rsidRDefault="002A3F2C" w:rsidP="003C11C8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предоставить 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получателям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2A3F2C" w:rsidRPr="007E5623" w:rsidRDefault="002A3F2C" w:rsidP="003C11C8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2A3F2C" w:rsidRPr="007E5623" w:rsidRDefault="002A3F2C" w:rsidP="003C11C8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2A3F2C" w:rsidRPr="007E5623" w:rsidRDefault="002A3F2C" w:rsidP="003C11C8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2A3F2C" w:rsidRPr="007E5623" w:rsidRDefault="002A3F2C" w:rsidP="003C11C8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</w:t>
      </w:r>
      <w:bookmarkStart w:id="0" w:name="_GoBack"/>
      <w:bookmarkEnd w:id="0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и;</w:t>
      </w:r>
    </w:p>
    <w:p w:rsidR="002A3F2C" w:rsidRPr="007E5623" w:rsidRDefault="002A3F2C" w:rsidP="003C11C8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обеспечить ведение журнала телефонных звонков 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получателям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из реестра получателей Товара с пометкой о времени звонка, результате звонка и выборе 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получателем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способа и места, времени доставки технического средства реабилитации;</w:t>
      </w:r>
    </w:p>
    <w:p w:rsidR="002A3F2C" w:rsidRPr="007E5623" w:rsidRDefault="002A3F2C" w:rsidP="003C11C8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обеспечить ведение аудиозаписи телефонных разговоров с 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получателями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по вопросам получения технического средства реабилитации;</w:t>
      </w:r>
    </w:p>
    <w:p w:rsidR="002A3F2C" w:rsidRPr="007E5623" w:rsidRDefault="002A3F2C" w:rsidP="003C11C8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2A3F2C" w:rsidRPr="007E5623" w:rsidRDefault="002A3F2C" w:rsidP="003C11C8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2A3F2C" w:rsidRPr="007E5623" w:rsidRDefault="002A3F2C" w:rsidP="003C11C8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подписания Контракта, в течение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3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(трёх)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2A3F2C" w:rsidRDefault="002A3F2C" w:rsidP="003C11C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3C11C8" w:rsidRDefault="003C11C8" w:rsidP="003C11C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Место поставки товара:</w:t>
      </w:r>
    </w:p>
    <w:p w:rsidR="002A3F2C" w:rsidRPr="003C11C8" w:rsidRDefault="002A3F2C" w:rsidP="0078266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proofErr w:type="spellStart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Муниципальные</w:t>
      </w:r>
      <w:proofErr w:type="spellEnd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Приморского</w:t>
      </w:r>
      <w:proofErr w:type="spellEnd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края</w:t>
      </w:r>
      <w:proofErr w:type="spellEnd"/>
      <w:r w:rsidR="003C11C8"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: </w:t>
      </w:r>
      <w:proofErr w:type="spellStart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Анучинский</w:t>
      </w:r>
      <w:proofErr w:type="spell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Лазовский</w:t>
      </w:r>
      <w:proofErr w:type="spell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Тернейский</w:t>
      </w:r>
      <w:proofErr w:type="spell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Ханкайский</w:t>
      </w:r>
      <w:proofErr w:type="spell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Хорольский</w:t>
      </w:r>
      <w:proofErr w:type="spell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Чугуевский</w:t>
      </w:r>
      <w:proofErr w:type="spell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округ. </w:t>
      </w:r>
      <w:proofErr w:type="spellStart"/>
      <w:proofErr w:type="gramStart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Дальнереченский</w:t>
      </w:r>
      <w:proofErr w:type="spell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Надеждинский</w:t>
      </w:r>
      <w:proofErr w:type="spell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</w:t>
      </w:r>
      <w:proofErr w:type="spellStart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Ольгинский</w:t>
      </w:r>
      <w:proofErr w:type="spell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Хасанский</w:t>
      </w:r>
      <w:proofErr w:type="spell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Шкотовский</w:t>
      </w:r>
      <w:proofErr w:type="spell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</w:t>
      </w:r>
      <w:proofErr w:type="spellStart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Яковлевский</w:t>
      </w:r>
      <w:proofErr w:type="spell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Арсеньевский</w:t>
      </w:r>
      <w:proofErr w:type="spell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Дальнегорский</w:t>
      </w:r>
      <w:proofErr w:type="spell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</w:t>
      </w:r>
      <w:proofErr w:type="spellStart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Дальнереченский</w:t>
      </w:r>
      <w:proofErr w:type="spell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</w:t>
      </w:r>
      <w:proofErr w:type="gram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округ, Лесозаводский городской округ, Находкинский городской округ, Партизанский городской округ, </w:t>
      </w:r>
      <w:proofErr w:type="gramStart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Спасск-Дальний</w:t>
      </w:r>
      <w:proofErr w:type="gramEnd"/>
      <w:r w:rsidRPr="003C11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Уссурийский городской округ, Городской округ город Фокино (ЗАТО). </w:t>
      </w:r>
    </w:p>
    <w:p w:rsidR="003C11C8" w:rsidRDefault="003C11C8" w:rsidP="003C11C8">
      <w:pPr>
        <w:spacing w:after="0" w:line="240" w:lineRule="auto"/>
        <w:ind w:firstLine="709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</w:p>
    <w:p w:rsidR="003C11C8" w:rsidRDefault="003C11C8" w:rsidP="003C11C8">
      <w:pPr>
        <w:spacing w:after="0" w:line="240" w:lineRule="auto"/>
        <w:ind w:firstLine="709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Срок поставки товара:</w:t>
      </w:r>
    </w:p>
    <w:p w:rsidR="002A3F2C" w:rsidRPr="003C11C8" w:rsidRDefault="002A3F2C" w:rsidP="003C11C8">
      <w:pPr>
        <w:spacing w:after="0" w:line="240" w:lineRule="auto"/>
        <w:ind w:firstLine="709"/>
        <w:jc w:val="both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proofErr w:type="spellStart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Поставка</w:t>
      </w:r>
      <w:proofErr w:type="spellEnd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Товара</w:t>
      </w:r>
      <w:proofErr w:type="spellEnd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получателям</w:t>
      </w:r>
      <w:proofErr w:type="spellEnd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должна</w:t>
      </w:r>
      <w:proofErr w:type="spellEnd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быть</w:t>
      </w:r>
      <w:proofErr w:type="spellEnd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осуществлена</w:t>
      </w:r>
      <w:proofErr w:type="spellEnd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с</w:t>
      </w:r>
      <w:r w:rsidR="003C11C8"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о</w:t>
      </w:r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д</w:t>
      </w:r>
      <w:r w:rsidR="003C11C8"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ня</w:t>
      </w:r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получения от Заказчика реестра получателей Товара до </w:t>
      </w:r>
      <w:r w:rsidR="00FF6B95"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30</w:t>
      </w:r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r w:rsidR="00FF6B95"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августа</w:t>
      </w:r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202</w:t>
      </w:r>
      <w:r w:rsidR="00FF6B95"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4</w:t>
      </w:r>
      <w:r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года </w:t>
      </w:r>
      <w:r w:rsidR="003C11C8" w:rsidRPr="003C11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 полном объеме</w:t>
      </w:r>
      <w:r w:rsidR="003C11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.</w:t>
      </w:r>
    </w:p>
    <w:sectPr w:rsidR="002A3F2C" w:rsidRPr="003C11C8" w:rsidSect="003C11C8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DF7231"/>
    <w:multiLevelType w:val="multilevel"/>
    <w:tmpl w:val="0268A6F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7" w:hanging="528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5"/>
    <w:rsid w:val="000176FA"/>
    <w:rsid w:val="00042AA7"/>
    <w:rsid w:val="000447A0"/>
    <w:rsid w:val="0005410A"/>
    <w:rsid w:val="000A7EFD"/>
    <w:rsid w:val="000B12C0"/>
    <w:rsid w:val="000C2ED5"/>
    <w:rsid w:val="000C4C26"/>
    <w:rsid w:val="000C4DBB"/>
    <w:rsid w:val="000D7B0C"/>
    <w:rsid w:val="000F4679"/>
    <w:rsid w:val="000F5F89"/>
    <w:rsid w:val="000F7FA1"/>
    <w:rsid w:val="00115B32"/>
    <w:rsid w:val="00121355"/>
    <w:rsid w:val="00134B72"/>
    <w:rsid w:val="00140D93"/>
    <w:rsid w:val="001A4C5B"/>
    <w:rsid w:val="001A5F44"/>
    <w:rsid w:val="001C74E1"/>
    <w:rsid w:val="001E20AB"/>
    <w:rsid w:val="00202587"/>
    <w:rsid w:val="002179E0"/>
    <w:rsid w:val="00220150"/>
    <w:rsid w:val="00224ED6"/>
    <w:rsid w:val="00233565"/>
    <w:rsid w:val="002366D2"/>
    <w:rsid w:val="002443E3"/>
    <w:rsid w:val="00261F98"/>
    <w:rsid w:val="00277764"/>
    <w:rsid w:val="00282597"/>
    <w:rsid w:val="00291F47"/>
    <w:rsid w:val="0029725B"/>
    <w:rsid w:val="002A3F2C"/>
    <w:rsid w:val="002C5DBE"/>
    <w:rsid w:val="00310343"/>
    <w:rsid w:val="003110C5"/>
    <w:rsid w:val="0031332B"/>
    <w:rsid w:val="00315087"/>
    <w:rsid w:val="00320F58"/>
    <w:rsid w:val="00355E02"/>
    <w:rsid w:val="00361E9A"/>
    <w:rsid w:val="0038084B"/>
    <w:rsid w:val="00385FDE"/>
    <w:rsid w:val="003948F4"/>
    <w:rsid w:val="003A03B4"/>
    <w:rsid w:val="003C0BDB"/>
    <w:rsid w:val="003C11C8"/>
    <w:rsid w:val="003C3BF4"/>
    <w:rsid w:val="003D52FF"/>
    <w:rsid w:val="003E159D"/>
    <w:rsid w:val="004217CA"/>
    <w:rsid w:val="00425989"/>
    <w:rsid w:val="00473CA6"/>
    <w:rsid w:val="0048410A"/>
    <w:rsid w:val="00484E1F"/>
    <w:rsid w:val="004A154B"/>
    <w:rsid w:val="004B3291"/>
    <w:rsid w:val="004D0157"/>
    <w:rsid w:val="004E0E2C"/>
    <w:rsid w:val="004F2725"/>
    <w:rsid w:val="00524690"/>
    <w:rsid w:val="005445EB"/>
    <w:rsid w:val="0057238A"/>
    <w:rsid w:val="00580FC8"/>
    <w:rsid w:val="0059384C"/>
    <w:rsid w:val="0059776F"/>
    <w:rsid w:val="005B22A6"/>
    <w:rsid w:val="005F08B2"/>
    <w:rsid w:val="005F3542"/>
    <w:rsid w:val="0061688F"/>
    <w:rsid w:val="006223A2"/>
    <w:rsid w:val="00623B6C"/>
    <w:rsid w:val="00627EB3"/>
    <w:rsid w:val="006461C6"/>
    <w:rsid w:val="0067145E"/>
    <w:rsid w:val="006C4E0F"/>
    <w:rsid w:val="006C7B2D"/>
    <w:rsid w:val="006C7C21"/>
    <w:rsid w:val="006D09F6"/>
    <w:rsid w:val="006F5337"/>
    <w:rsid w:val="00706ADC"/>
    <w:rsid w:val="007177D6"/>
    <w:rsid w:val="0072610E"/>
    <w:rsid w:val="007349A1"/>
    <w:rsid w:val="00736B82"/>
    <w:rsid w:val="0075099D"/>
    <w:rsid w:val="00763756"/>
    <w:rsid w:val="007660CD"/>
    <w:rsid w:val="0078266B"/>
    <w:rsid w:val="00785D72"/>
    <w:rsid w:val="007A5B6B"/>
    <w:rsid w:val="007B43CC"/>
    <w:rsid w:val="007B59B6"/>
    <w:rsid w:val="00835B63"/>
    <w:rsid w:val="00841399"/>
    <w:rsid w:val="008666EF"/>
    <w:rsid w:val="00867473"/>
    <w:rsid w:val="00872D1E"/>
    <w:rsid w:val="00872FC4"/>
    <w:rsid w:val="008856B8"/>
    <w:rsid w:val="0089245D"/>
    <w:rsid w:val="008B2D7B"/>
    <w:rsid w:val="008B3D74"/>
    <w:rsid w:val="008C15E0"/>
    <w:rsid w:val="008C42E2"/>
    <w:rsid w:val="008D1038"/>
    <w:rsid w:val="008D46FD"/>
    <w:rsid w:val="008E046C"/>
    <w:rsid w:val="008E0C23"/>
    <w:rsid w:val="008E66B8"/>
    <w:rsid w:val="00924F5F"/>
    <w:rsid w:val="00926BB3"/>
    <w:rsid w:val="00954D15"/>
    <w:rsid w:val="00973B9C"/>
    <w:rsid w:val="009A5022"/>
    <w:rsid w:val="009C0155"/>
    <w:rsid w:val="009C514F"/>
    <w:rsid w:val="009D7AEE"/>
    <w:rsid w:val="009E1BDF"/>
    <w:rsid w:val="009F2450"/>
    <w:rsid w:val="00A06634"/>
    <w:rsid w:val="00AB7063"/>
    <w:rsid w:val="00AC5D1F"/>
    <w:rsid w:val="00AC72E0"/>
    <w:rsid w:val="00AD1123"/>
    <w:rsid w:val="00AD4E69"/>
    <w:rsid w:val="00AF666F"/>
    <w:rsid w:val="00B053DD"/>
    <w:rsid w:val="00B14731"/>
    <w:rsid w:val="00B24389"/>
    <w:rsid w:val="00B46D57"/>
    <w:rsid w:val="00B75E36"/>
    <w:rsid w:val="00B84040"/>
    <w:rsid w:val="00B85605"/>
    <w:rsid w:val="00BA1499"/>
    <w:rsid w:val="00BA2286"/>
    <w:rsid w:val="00BA5FF7"/>
    <w:rsid w:val="00BC680D"/>
    <w:rsid w:val="00BC7626"/>
    <w:rsid w:val="00BF0676"/>
    <w:rsid w:val="00BF0996"/>
    <w:rsid w:val="00C02F34"/>
    <w:rsid w:val="00C12815"/>
    <w:rsid w:val="00C13EBE"/>
    <w:rsid w:val="00C14143"/>
    <w:rsid w:val="00C61AB2"/>
    <w:rsid w:val="00C64965"/>
    <w:rsid w:val="00C65223"/>
    <w:rsid w:val="00CA039C"/>
    <w:rsid w:val="00CB314E"/>
    <w:rsid w:val="00CB329A"/>
    <w:rsid w:val="00CC31CE"/>
    <w:rsid w:val="00D03462"/>
    <w:rsid w:val="00D11A94"/>
    <w:rsid w:val="00D32BC7"/>
    <w:rsid w:val="00D47159"/>
    <w:rsid w:val="00D53164"/>
    <w:rsid w:val="00D67C29"/>
    <w:rsid w:val="00D8612C"/>
    <w:rsid w:val="00D93914"/>
    <w:rsid w:val="00DA4562"/>
    <w:rsid w:val="00DB7EF1"/>
    <w:rsid w:val="00DE03B8"/>
    <w:rsid w:val="00E00452"/>
    <w:rsid w:val="00E33105"/>
    <w:rsid w:val="00E43055"/>
    <w:rsid w:val="00E460EE"/>
    <w:rsid w:val="00E6337A"/>
    <w:rsid w:val="00EB35E7"/>
    <w:rsid w:val="00EB707A"/>
    <w:rsid w:val="00EC17FA"/>
    <w:rsid w:val="00EC42F4"/>
    <w:rsid w:val="00F0450F"/>
    <w:rsid w:val="00F0542D"/>
    <w:rsid w:val="00F10391"/>
    <w:rsid w:val="00F152B7"/>
    <w:rsid w:val="00F16CA6"/>
    <w:rsid w:val="00F27C9C"/>
    <w:rsid w:val="00F601FF"/>
    <w:rsid w:val="00F63952"/>
    <w:rsid w:val="00FA43CC"/>
    <w:rsid w:val="00FA69BF"/>
    <w:rsid w:val="00FC0FF2"/>
    <w:rsid w:val="00FC1E3A"/>
    <w:rsid w:val="00FC6B3C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AF666F"/>
    <w:pPr>
      <w:keepNext/>
      <w:keepLines/>
      <w:numPr>
        <w:numId w:val="1"/>
      </w:numPr>
      <w:tabs>
        <w:tab w:val="left" w:pos="0"/>
      </w:tabs>
      <w:suppressAutoHyphens/>
      <w:spacing w:before="480" w:after="0"/>
      <w:outlineLvl w:val="0"/>
    </w:pPr>
    <w:rPr>
      <w:rFonts w:ascii="Cambria" w:eastAsia="Lucida Sans Unicode" w:hAnsi="Cambria" w:cs="Cambria"/>
      <w:b/>
      <w:bCs/>
      <w:color w:val="365F91"/>
      <w:kern w:val="1"/>
      <w:sz w:val="28"/>
      <w:szCs w:val="28"/>
      <w:lang w:eastAsia="zh-CN"/>
    </w:rPr>
  </w:style>
  <w:style w:type="paragraph" w:styleId="2">
    <w:name w:val="heading 2"/>
    <w:basedOn w:val="a"/>
    <w:next w:val="a0"/>
    <w:link w:val="20"/>
    <w:qFormat/>
    <w:rsid w:val="00AF666F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AF666F"/>
    <w:pPr>
      <w:keepNext/>
      <w:keepLines/>
      <w:numPr>
        <w:ilvl w:val="2"/>
        <w:numId w:val="1"/>
      </w:numPr>
      <w:tabs>
        <w:tab w:val="left" w:pos="0"/>
      </w:tabs>
      <w:suppressAutoHyphens/>
      <w:spacing w:before="200" w:after="0"/>
      <w:outlineLvl w:val="2"/>
    </w:pPr>
    <w:rPr>
      <w:rFonts w:ascii="Cambria" w:eastAsia="Lucida Sans Unicode" w:hAnsi="Cambria" w:cs="Cambria"/>
      <w:b/>
      <w:bCs/>
      <w:color w:val="4F81BD"/>
      <w:kern w:val="1"/>
      <w:lang w:eastAsia="zh-CN"/>
    </w:rPr>
  </w:style>
  <w:style w:type="paragraph" w:styleId="4">
    <w:name w:val="heading 4"/>
    <w:basedOn w:val="a"/>
    <w:next w:val="a0"/>
    <w:link w:val="40"/>
    <w:qFormat/>
    <w:rsid w:val="00AF666F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/>
      <w:outlineLvl w:val="3"/>
    </w:pPr>
    <w:rPr>
      <w:rFonts w:ascii="Cambria" w:eastAsia="Lucida Sans Unicode" w:hAnsi="Cambria" w:cs="Cambria"/>
      <w:b/>
      <w:bCs/>
      <w:i/>
      <w:iCs/>
      <w:color w:val="4F81BD"/>
      <w:kern w:val="1"/>
      <w:lang w:eastAsia="zh-CN"/>
    </w:rPr>
  </w:style>
  <w:style w:type="paragraph" w:styleId="5">
    <w:name w:val="heading 5"/>
    <w:basedOn w:val="a"/>
    <w:next w:val="a0"/>
    <w:link w:val="50"/>
    <w:qFormat/>
    <w:rsid w:val="00AF666F"/>
    <w:pPr>
      <w:keepNext/>
      <w:keepLines/>
      <w:numPr>
        <w:ilvl w:val="4"/>
        <w:numId w:val="1"/>
      </w:numPr>
      <w:tabs>
        <w:tab w:val="left" w:pos="0"/>
      </w:tabs>
      <w:suppressAutoHyphens/>
      <w:spacing w:before="200" w:after="0"/>
      <w:outlineLvl w:val="4"/>
    </w:pPr>
    <w:rPr>
      <w:rFonts w:ascii="Cambria" w:eastAsia="Lucida Sans Unicode" w:hAnsi="Cambria" w:cs="Cambria"/>
      <w:color w:val="243F60"/>
      <w:kern w:val="1"/>
      <w:lang w:eastAsia="zh-CN"/>
    </w:rPr>
  </w:style>
  <w:style w:type="paragraph" w:styleId="7">
    <w:name w:val="heading 7"/>
    <w:basedOn w:val="a"/>
    <w:next w:val="a0"/>
    <w:link w:val="70"/>
    <w:qFormat/>
    <w:rsid w:val="00AF666F"/>
    <w:pPr>
      <w:keepNext/>
      <w:keepLines/>
      <w:numPr>
        <w:ilvl w:val="6"/>
        <w:numId w:val="1"/>
      </w:numPr>
      <w:suppressAutoHyphens/>
      <w:spacing w:before="200" w:after="0"/>
      <w:outlineLvl w:val="6"/>
    </w:pPr>
    <w:rPr>
      <w:rFonts w:ascii="Cambria" w:eastAsia="Lucida Sans Unicode" w:hAnsi="Cambria" w:cs="Cambria"/>
      <w:i/>
      <w:iCs/>
      <w:color w:val="404040"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2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rsid w:val="006223A2"/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6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601F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AF666F"/>
    <w:rPr>
      <w:rFonts w:ascii="Cambria" w:eastAsia="Lucida Sans Unicode" w:hAnsi="Cambria" w:cs="Cambria"/>
      <w:b/>
      <w:bCs/>
      <w:color w:val="365F91"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AF666F"/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AF666F"/>
    <w:rPr>
      <w:rFonts w:ascii="Cambria" w:eastAsia="Lucida Sans Unicode" w:hAnsi="Cambria" w:cs="Cambria"/>
      <w:b/>
      <w:bCs/>
      <w:color w:val="4F81BD"/>
      <w:kern w:val="1"/>
      <w:lang w:eastAsia="zh-CN"/>
    </w:rPr>
  </w:style>
  <w:style w:type="character" w:customStyle="1" w:styleId="40">
    <w:name w:val="Заголовок 4 Знак"/>
    <w:basedOn w:val="a1"/>
    <w:link w:val="4"/>
    <w:rsid w:val="00AF666F"/>
    <w:rPr>
      <w:rFonts w:ascii="Cambria" w:eastAsia="Lucida Sans Unicode" w:hAnsi="Cambria" w:cs="Cambria"/>
      <w:b/>
      <w:bCs/>
      <w:i/>
      <w:iCs/>
      <w:color w:val="4F81BD"/>
      <w:kern w:val="1"/>
      <w:lang w:eastAsia="zh-CN"/>
    </w:rPr>
  </w:style>
  <w:style w:type="character" w:customStyle="1" w:styleId="50">
    <w:name w:val="Заголовок 5 Знак"/>
    <w:basedOn w:val="a1"/>
    <w:link w:val="5"/>
    <w:rsid w:val="00AF666F"/>
    <w:rPr>
      <w:rFonts w:ascii="Cambria" w:eastAsia="Lucida Sans Unicode" w:hAnsi="Cambria" w:cs="Cambria"/>
      <w:color w:val="243F60"/>
      <w:kern w:val="1"/>
      <w:lang w:eastAsia="zh-CN"/>
    </w:rPr>
  </w:style>
  <w:style w:type="character" w:customStyle="1" w:styleId="70">
    <w:name w:val="Заголовок 7 Знак"/>
    <w:basedOn w:val="a1"/>
    <w:link w:val="7"/>
    <w:rsid w:val="00AF666F"/>
    <w:rPr>
      <w:rFonts w:ascii="Cambria" w:eastAsia="Lucida Sans Unicode" w:hAnsi="Cambria" w:cs="Cambria"/>
      <w:i/>
      <w:iCs/>
      <w:color w:val="404040"/>
      <w:kern w:val="1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AF666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F666F"/>
    <w:rPr>
      <w:rFonts w:ascii="Calibri" w:eastAsia="Calibri" w:hAnsi="Calibri" w:cs="Times New Roman"/>
    </w:rPr>
  </w:style>
  <w:style w:type="table" w:styleId="a7">
    <w:name w:val="Table Grid"/>
    <w:basedOn w:val="a2"/>
    <w:uiPriority w:val="39"/>
    <w:rsid w:val="004E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AF666F"/>
    <w:pPr>
      <w:keepNext/>
      <w:keepLines/>
      <w:numPr>
        <w:numId w:val="1"/>
      </w:numPr>
      <w:tabs>
        <w:tab w:val="left" w:pos="0"/>
      </w:tabs>
      <w:suppressAutoHyphens/>
      <w:spacing w:before="480" w:after="0"/>
      <w:outlineLvl w:val="0"/>
    </w:pPr>
    <w:rPr>
      <w:rFonts w:ascii="Cambria" w:eastAsia="Lucida Sans Unicode" w:hAnsi="Cambria" w:cs="Cambria"/>
      <w:b/>
      <w:bCs/>
      <w:color w:val="365F91"/>
      <w:kern w:val="1"/>
      <w:sz w:val="28"/>
      <w:szCs w:val="28"/>
      <w:lang w:eastAsia="zh-CN"/>
    </w:rPr>
  </w:style>
  <w:style w:type="paragraph" w:styleId="2">
    <w:name w:val="heading 2"/>
    <w:basedOn w:val="a"/>
    <w:next w:val="a0"/>
    <w:link w:val="20"/>
    <w:qFormat/>
    <w:rsid w:val="00AF666F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AF666F"/>
    <w:pPr>
      <w:keepNext/>
      <w:keepLines/>
      <w:numPr>
        <w:ilvl w:val="2"/>
        <w:numId w:val="1"/>
      </w:numPr>
      <w:tabs>
        <w:tab w:val="left" w:pos="0"/>
      </w:tabs>
      <w:suppressAutoHyphens/>
      <w:spacing w:before="200" w:after="0"/>
      <w:outlineLvl w:val="2"/>
    </w:pPr>
    <w:rPr>
      <w:rFonts w:ascii="Cambria" w:eastAsia="Lucida Sans Unicode" w:hAnsi="Cambria" w:cs="Cambria"/>
      <w:b/>
      <w:bCs/>
      <w:color w:val="4F81BD"/>
      <w:kern w:val="1"/>
      <w:lang w:eastAsia="zh-CN"/>
    </w:rPr>
  </w:style>
  <w:style w:type="paragraph" w:styleId="4">
    <w:name w:val="heading 4"/>
    <w:basedOn w:val="a"/>
    <w:next w:val="a0"/>
    <w:link w:val="40"/>
    <w:qFormat/>
    <w:rsid w:val="00AF666F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/>
      <w:outlineLvl w:val="3"/>
    </w:pPr>
    <w:rPr>
      <w:rFonts w:ascii="Cambria" w:eastAsia="Lucida Sans Unicode" w:hAnsi="Cambria" w:cs="Cambria"/>
      <w:b/>
      <w:bCs/>
      <w:i/>
      <w:iCs/>
      <w:color w:val="4F81BD"/>
      <w:kern w:val="1"/>
      <w:lang w:eastAsia="zh-CN"/>
    </w:rPr>
  </w:style>
  <w:style w:type="paragraph" w:styleId="5">
    <w:name w:val="heading 5"/>
    <w:basedOn w:val="a"/>
    <w:next w:val="a0"/>
    <w:link w:val="50"/>
    <w:qFormat/>
    <w:rsid w:val="00AF666F"/>
    <w:pPr>
      <w:keepNext/>
      <w:keepLines/>
      <w:numPr>
        <w:ilvl w:val="4"/>
        <w:numId w:val="1"/>
      </w:numPr>
      <w:tabs>
        <w:tab w:val="left" w:pos="0"/>
      </w:tabs>
      <w:suppressAutoHyphens/>
      <w:spacing w:before="200" w:after="0"/>
      <w:outlineLvl w:val="4"/>
    </w:pPr>
    <w:rPr>
      <w:rFonts w:ascii="Cambria" w:eastAsia="Lucida Sans Unicode" w:hAnsi="Cambria" w:cs="Cambria"/>
      <w:color w:val="243F60"/>
      <w:kern w:val="1"/>
      <w:lang w:eastAsia="zh-CN"/>
    </w:rPr>
  </w:style>
  <w:style w:type="paragraph" w:styleId="7">
    <w:name w:val="heading 7"/>
    <w:basedOn w:val="a"/>
    <w:next w:val="a0"/>
    <w:link w:val="70"/>
    <w:qFormat/>
    <w:rsid w:val="00AF666F"/>
    <w:pPr>
      <w:keepNext/>
      <w:keepLines/>
      <w:numPr>
        <w:ilvl w:val="6"/>
        <w:numId w:val="1"/>
      </w:numPr>
      <w:suppressAutoHyphens/>
      <w:spacing w:before="200" w:after="0"/>
      <w:outlineLvl w:val="6"/>
    </w:pPr>
    <w:rPr>
      <w:rFonts w:ascii="Cambria" w:eastAsia="Lucida Sans Unicode" w:hAnsi="Cambria" w:cs="Cambria"/>
      <w:i/>
      <w:iCs/>
      <w:color w:val="404040"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2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rsid w:val="006223A2"/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6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601F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AF666F"/>
    <w:rPr>
      <w:rFonts w:ascii="Cambria" w:eastAsia="Lucida Sans Unicode" w:hAnsi="Cambria" w:cs="Cambria"/>
      <w:b/>
      <w:bCs/>
      <w:color w:val="365F91"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AF666F"/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AF666F"/>
    <w:rPr>
      <w:rFonts w:ascii="Cambria" w:eastAsia="Lucida Sans Unicode" w:hAnsi="Cambria" w:cs="Cambria"/>
      <w:b/>
      <w:bCs/>
      <w:color w:val="4F81BD"/>
      <w:kern w:val="1"/>
      <w:lang w:eastAsia="zh-CN"/>
    </w:rPr>
  </w:style>
  <w:style w:type="character" w:customStyle="1" w:styleId="40">
    <w:name w:val="Заголовок 4 Знак"/>
    <w:basedOn w:val="a1"/>
    <w:link w:val="4"/>
    <w:rsid w:val="00AF666F"/>
    <w:rPr>
      <w:rFonts w:ascii="Cambria" w:eastAsia="Lucida Sans Unicode" w:hAnsi="Cambria" w:cs="Cambria"/>
      <w:b/>
      <w:bCs/>
      <w:i/>
      <w:iCs/>
      <w:color w:val="4F81BD"/>
      <w:kern w:val="1"/>
      <w:lang w:eastAsia="zh-CN"/>
    </w:rPr>
  </w:style>
  <w:style w:type="character" w:customStyle="1" w:styleId="50">
    <w:name w:val="Заголовок 5 Знак"/>
    <w:basedOn w:val="a1"/>
    <w:link w:val="5"/>
    <w:rsid w:val="00AF666F"/>
    <w:rPr>
      <w:rFonts w:ascii="Cambria" w:eastAsia="Lucida Sans Unicode" w:hAnsi="Cambria" w:cs="Cambria"/>
      <w:color w:val="243F60"/>
      <w:kern w:val="1"/>
      <w:lang w:eastAsia="zh-CN"/>
    </w:rPr>
  </w:style>
  <w:style w:type="character" w:customStyle="1" w:styleId="70">
    <w:name w:val="Заголовок 7 Знак"/>
    <w:basedOn w:val="a1"/>
    <w:link w:val="7"/>
    <w:rsid w:val="00AF666F"/>
    <w:rPr>
      <w:rFonts w:ascii="Cambria" w:eastAsia="Lucida Sans Unicode" w:hAnsi="Cambria" w:cs="Cambria"/>
      <w:i/>
      <w:iCs/>
      <w:color w:val="404040"/>
      <w:kern w:val="1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AF666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F666F"/>
    <w:rPr>
      <w:rFonts w:ascii="Calibri" w:eastAsia="Calibri" w:hAnsi="Calibri" w:cs="Times New Roman"/>
    </w:rPr>
  </w:style>
  <w:style w:type="table" w:styleId="a7">
    <w:name w:val="Table Grid"/>
    <w:basedOn w:val="a2"/>
    <w:uiPriority w:val="39"/>
    <w:rsid w:val="004E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4CB07-E0C8-442B-95EE-1C19C514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Каминский Алексей Витальевич</cp:lastModifiedBy>
  <cp:revision>30</cp:revision>
  <cp:lastPrinted>2024-02-13T05:23:00Z</cp:lastPrinted>
  <dcterms:created xsi:type="dcterms:W3CDTF">2023-10-26T01:06:00Z</dcterms:created>
  <dcterms:modified xsi:type="dcterms:W3CDTF">2024-03-29T00:10:00Z</dcterms:modified>
</cp:coreProperties>
</file>